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Vice President for Academic Affairs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Vice President for Academic Affairs (VPAA) is the chief academic officer of the institution, providing visionary leadership and strategic direction for all academic programs and initiatives. As a key member of the executive leadership team, the VPAA oversees academic planning, curriculum development, faculty recruitment and development, accreditation, and assessment to ensure academic excellence and alignment with the institution's mission.</w:t>
      </w:r>
    </w:p>
    <w:p>
      <w:pPr>
        <w:spacing w:after="140" w:line="300"/>
      </w:pPr>
      <w:r>
        <w:rPr>
          <w:rFonts w:ascii="Calibri" w:cs="Calibri" w:eastAsia="Calibri" w:hAnsi="Calibri"/>
          <w:color w:val="333333"/>
          <w:sz w:val="22"/>
          <w:szCs w:val="22"/>
        </w:rPr>
        <w:t xml:space="preserve">It is the senior-most academic leadership role within the higher education sector, reporting to the President and collaborating with the Board of Trustees on institutional strategy.</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&amp; Academic Leadership</w:t>
      </w:r>
    </w:p>
    <w:p>
      <w:pPr>
        <w:pStyle w:val="ListParagraph"/>
        <w:numPr>
          <w:ilvl w:val="0"/>
          <w:numId w:val="2"/>
        </w:numPr>
        <w:spacing w:after="90" w:line="300"/>
      </w:pPr>
      <w:r>
        <w:rPr>
          <w:rFonts w:ascii="Calibri" w:cs="Calibri" w:eastAsia="Calibri" w:hAnsi="Calibri"/>
          <w:color w:val="333333"/>
          <w:sz w:val="22"/>
          <w:szCs w:val="22"/>
        </w:rPr>
        <w:t xml:space="preserve">Define and advance the institution's academic vision, ensuring academic priorities align with institutional goals.</w:t>
      </w:r>
    </w:p>
    <w:p>
      <w:pPr>
        <w:pStyle w:val="ListParagraph"/>
        <w:numPr>
          <w:ilvl w:val="0"/>
          <w:numId w:val="2"/>
        </w:numPr>
        <w:spacing w:after="90" w:line="300"/>
      </w:pPr>
      <w:r>
        <w:rPr>
          <w:rFonts w:ascii="Calibri" w:cs="Calibri" w:eastAsia="Calibri" w:hAnsi="Calibri"/>
          <w:color w:val="333333"/>
          <w:sz w:val="22"/>
          <w:szCs w:val="22"/>
        </w:rPr>
        <w:t xml:space="preserve">Collaborate with the President, Board of Trustees, and executive leaders to develop and implement strategic plans that promote academic excellence, student success, and innovation.</w:t>
      </w:r>
    </w:p>
    <w:p>
      <w:pPr>
        <w:pStyle w:val="ListParagraph"/>
        <w:numPr>
          <w:ilvl w:val="0"/>
          <w:numId w:val="2"/>
        </w:numPr>
        <w:spacing w:after="90" w:line="300"/>
      </w:pPr>
      <w:r>
        <w:rPr>
          <w:rFonts w:ascii="Calibri" w:cs="Calibri" w:eastAsia="Calibri" w:hAnsi="Calibri"/>
          <w:color w:val="333333"/>
          <w:sz w:val="22"/>
          <w:szCs w:val="22"/>
        </w:rPr>
        <w:t xml:space="preserve">Oversee all academic programs, including undergraduate, graduate, and continuing education, supervising deans and department chairs and fostering interdisciplinary, student-centered learning.</w:t>
      </w:r>
    </w:p>
    <w:p>
      <w:pPr>
        <w:spacing w:after="140" w:line="300"/>
      </w:pPr>
      <w:r>
        <w:rPr>
          <w:rFonts w:ascii="Calibri" w:cs="Calibri" w:eastAsia="Calibri" w:hAnsi="Calibri"/>
          <w:b/>
          <w:bCs/>
          <w:color w:val="2E4D7B"/>
          <w:sz w:val="22"/>
          <w:szCs w:val="22"/>
        </w:rPr>
        <w:t xml:space="preserve">Faculty, Accreditation &amp; Assessment</w:t>
      </w:r>
    </w:p>
    <w:p>
      <w:pPr>
        <w:pStyle w:val="ListParagraph"/>
        <w:numPr>
          <w:ilvl w:val="0"/>
          <w:numId w:val="2"/>
        </w:numPr>
        <w:spacing w:after="90" w:line="300"/>
      </w:pPr>
      <w:r>
        <w:rPr>
          <w:rFonts w:ascii="Calibri" w:cs="Calibri" w:eastAsia="Calibri" w:hAnsi="Calibri"/>
          <w:color w:val="333333"/>
          <w:sz w:val="22"/>
          <w:szCs w:val="22"/>
        </w:rPr>
        <w:t xml:space="preserve">Lead efforts to recruit, retain, and develop a diverse and highly qualified faculty, supporting professional development and the tenure and promotion process.</w:t>
      </w:r>
    </w:p>
    <w:p>
      <w:pPr>
        <w:pStyle w:val="ListParagraph"/>
        <w:numPr>
          <w:ilvl w:val="0"/>
          <w:numId w:val="2"/>
        </w:numPr>
        <w:spacing w:after="90" w:line="300"/>
      </w:pPr>
      <w:r>
        <w:rPr>
          <w:rFonts w:ascii="Calibri" w:cs="Calibri" w:eastAsia="Calibri" w:hAnsi="Calibri"/>
          <w:color w:val="333333"/>
          <w:sz w:val="22"/>
          <w:szCs w:val="22"/>
        </w:rPr>
        <w:t xml:space="preserve">Ensure compliance with all accreditation standards and lead assessment and institutional effectiveness efforts.</w:t>
      </w:r>
    </w:p>
    <w:p>
      <w:pPr>
        <w:pStyle w:val="ListParagraph"/>
        <w:numPr>
          <w:ilvl w:val="0"/>
          <w:numId w:val="2"/>
        </w:numPr>
        <w:spacing w:after="90" w:line="300"/>
      </w:pPr>
      <w:r>
        <w:rPr>
          <w:rFonts w:ascii="Calibri" w:cs="Calibri" w:eastAsia="Calibri" w:hAnsi="Calibri"/>
          <w:color w:val="333333"/>
          <w:sz w:val="22"/>
          <w:szCs w:val="22"/>
        </w:rPr>
        <w:t xml:space="preserve">Oversee the development and evaluation of academic policies, ensuring continuous improvement in teaching, learning, and student outcomes.</w:t>
      </w:r>
    </w:p>
    <w:p>
      <w:pPr>
        <w:spacing w:after="140" w:line="300"/>
      </w:pPr>
      <w:r>
        <w:rPr>
          <w:rFonts w:ascii="Calibri" w:cs="Calibri" w:eastAsia="Calibri" w:hAnsi="Calibri"/>
          <w:b/>
          <w:bCs/>
          <w:color w:val="2E4D7B"/>
          <w:sz w:val="22"/>
          <w:szCs w:val="22"/>
        </w:rPr>
        <w:t xml:space="preserve">Budget, Students &amp; External Engagement</w:t>
      </w:r>
    </w:p>
    <w:p>
      <w:pPr>
        <w:pStyle w:val="ListParagraph"/>
        <w:numPr>
          <w:ilvl w:val="0"/>
          <w:numId w:val="2"/>
        </w:numPr>
        <w:spacing w:after="90" w:line="300"/>
      </w:pPr>
      <w:r>
        <w:rPr>
          <w:rFonts w:ascii="Calibri" w:cs="Calibri" w:eastAsia="Calibri" w:hAnsi="Calibri"/>
          <w:color w:val="333333"/>
          <w:sz w:val="22"/>
          <w:szCs w:val="22"/>
        </w:rPr>
        <w:t xml:space="preserve">Oversee the academic budget, ensuring efficient allocation of resources and advocating for the funding, facilities, and technology academic programs need.</w:t>
      </w:r>
    </w:p>
    <w:p>
      <w:pPr>
        <w:pStyle w:val="ListParagraph"/>
        <w:numPr>
          <w:ilvl w:val="0"/>
          <w:numId w:val="2"/>
        </w:numPr>
        <w:spacing w:after="90" w:line="300"/>
      </w:pPr>
      <w:r>
        <w:rPr>
          <w:rFonts w:ascii="Calibri" w:cs="Calibri" w:eastAsia="Calibri" w:hAnsi="Calibri"/>
          <w:color w:val="333333"/>
          <w:sz w:val="22"/>
          <w:szCs w:val="22"/>
        </w:rPr>
        <w:t xml:space="preserve">Work with student affairs and enrollment management to enhance retention, persistence, and graduation rates.</w:t>
      </w:r>
    </w:p>
    <w:p>
      <w:pPr>
        <w:pStyle w:val="ListParagraph"/>
        <w:numPr>
          <w:ilvl w:val="0"/>
          <w:numId w:val="2"/>
        </w:numPr>
        <w:spacing w:after="90" w:line="300"/>
      </w:pPr>
      <w:r>
        <w:rPr>
          <w:rFonts w:ascii="Calibri" w:cs="Calibri" w:eastAsia="Calibri" w:hAnsi="Calibri"/>
          <w:color w:val="333333"/>
          <w:sz w:val="22"/>
          <w:szCs w:val="22"/>
        </w:rPr>
        <w:t xml:space="preserve">Represent the institution in regional, national, and international academic communities, building partnerships with industry, government, and educational organizations.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Terminal degree in an academic discipline from an accredited institution.</w:t>
      </w:r>
    </w:p>
    <w:p>
      <w:pPr>
        <w:pStyle w:val="ListParagraph"/>
        <w:numPr>
          <w:ilvl w:val="0"/>
          <w:numId w:val="2"/>
        </w:numPr>
        <w:spacing w:after="90" w:line="300"/>
      </w:pPr>
      <w:r>
        <w:rPr>
          <w:rFonts w:ascii="Calibri" w:cs="Calibri" w:eastAsia="Calibri" w:hAnsi="Calibri"/>
          <w:color w:val="333333"/>
          <w:sz w:val="22"/>
          <w:szCs w:val="22"/>
        </w:rPr>
        <w:t xml:space="preserve">Minimum of ten years of progressively responsible experience in higher education, including leadership roles at the dean level or higher.</w:t>
      </w:r>
    </w:p>
    <w:p>
      <w:pPr>
        <w:spacing w:after="140" w:line="300"/>
      </w:pPr>
      <w:r>
        <w:rPr>
          <w:rFonts w:ascii="Calibri" w:cs="Calibri" w:eastAsia="Calibri" w:hAnsi="Calibri"/>
          <w:b/>
          <w:bCs/>
          <w:color w:val="2E4D7B"/>
          <w:sz w:val="22"/>
          <w:szCs w:val="22"/>
        </w:rPr>
        <w:t xml:space="preserve">Knowledge, Skills &amp; Abilities</w:t>
      </w:r>
    </w:p>
    <w:p>
      <w:pPr>
        <w:pStyle w:val="ListParagraph"/>
        <w:numPr>
          <w:ilvl w:val="0"/>
          <w:numId w:val="2"/>
        </w:numPr>
        <w:spacing w:after="90" w:line="300"/>
      </w:pPr>
      <w:r>
        <w:rPr>
          <w:rFonts w:ascii="Calibri" w:cs="Calibri" w:eastAsia="Calibri" w:hAnsi="Calibri"/>
          <w:color w:val="333333"/>
          <w:sz w:val="22"/>
          <w:szCs w:val="22"/>
        </w:rPr>
        <w:t xml:space="preserve">Strong understanding of academic administration, including curriculum development, faculty governance, and accreditation processes.</w:t>
      </w:r>
    </w:p>
    <w:p>
      <w:pPr>
        <w:pStyle w:val="ListParagraph"/>
        <w:numPr>
          <w:ilvl w:val="0"/>
          <w:numId w:val="2"/>
        </w:numPr>
        <w:spacing w:after="90" w:line="300"/>
      </w:pPr>
      <w:r>
        <w:rPr>
          <w:rFonts w:ascii="Calibri" w:cs="Calibri" w:eastAsia="Calibri" w:hAnsi="Calibri"/>
          <w:color w:val="333333"/>
          <w:sz w:val="22"/>
          <w:szCs w:val="22"/>
        </w:rPr>
        <w:t xml:space="preserve">Exceptional communication, interpersonal, and problem-solving skills, with proven ability to lead and inspire diverse teams.</w:t>
      </w:r>
    </w:p>
    <w:p>
      <w:pPr>
        <w:pStyle w:val="ListParagraph"/>
        <w:numPr>
          <w:ilvl w:val="0"/>
          <w:numId w:val="2"/>
        </w:numPr>
        <w:spacing w:after="90" w:line="300"/>
      </w:pPr>
      <w:r>
        <w:rPr>
          <w:rFonts w:ascii="Calibri" w:cs="Calibri" w:eastAsia="Calibri" w:hAnsi="Calibri"/>
          <w:color w:val="333333"/>
          <w:sz w:val="22"/>
          <w:szCs w:val="22"/>
        </w:rPr>
        <w:t xml:space="preserve">Experience in strategic planning and execution at the institutional level, with knowledge of trends in student success and retention.</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Vice President for Academic Affairs?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