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Technology Transfer Officer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Technology Transfer Officer bridges innovation and industry by managing the institution's intellectual property portfolio and licensing efforts. The role supports faculty, researchers, and staff in identifying, protecting, and commercializing intellectual property to maximize its societal and economic impact, ensuring that discoveries made in university labs are protected, marketed, licensed, or spun out into ventures that can deploy them at scale.</w:t>
      </w:r>
    </w:p>
    <w:p>
      <w:pPr>
        <w:spacing w:after="140" w:line="300"/>
      </w:pPr>
      <w:r>
        <w:rPr>
          <w:rFonts w:ascii="Calibri" w:cs="Calibri" w:eastAsia="Calibri" w:hAnsi="Calibri"/>
          <w:color w:val="333333"/>
          <w:sz w:val="22"/>
          <w:szCs w:val="22"/>
        </w:rPr>
        <w:t xml:space="preserve">It requires a rare combination of scientific fluency, legal literacy, business development skill, and the interpersonal ability to work credibly with faculty, lawyers, startup founders, and corporate partners at once. It sits within the higher education and research space, with strong ties to commercial and investment partners.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Intellectual Property Management</w:t>
      </w:r>
    </w:p>
    <w:p>
      <w:pPr>
        <w:pStyle w:val="ListParagraph"/>
        <w:numPr>
          <w:ilvl w:val="0"/>
          <w:numId w:val="2"/>
        </w:numPr>
        <w:spacing w:after="90" w:line="300"/>
      </w:pPr>
      <w:r>
        <w:rPr>
          <w:rFonts w:ascii="Calibri" w:cs="Calibri" w:eastAsia="Calibri" w:hAnsi="Calibri"/>
          <w:color w:val="333333"/>
          <w:sz w:val="22"/>
          <w:szCs w:val="22"/>
        </w:rPr>
        <w:t xml:space="preserve">Oversee the identification, evaluation, and protection of intellectual property from university research, including inventions, software, data assets, and copyrightable works.</w:t>
      </w:r>
    </w:p>
    <w:p>
      <w:pPr>
        <w:pStyle w:val="ListParagraph"/>
        <w:numPr>
          <w:ilvl w:val="0"/>
          <w:numId w:val="2"/>
        </w:numPr>
        <w:spacing w:after="90" w:line="300"/>
      </w:pPr>
      <w:r>
        <w:rPr>
          <w:rFonts w:ascii="Calibri" w:cs="Calibri" w:eastAsia="Calibri" w:hAnsi="Calibri"/>
          <w:color w:val="333333"/>
          <w:sz w:val="22"/>
          <w:szCs w:val="22"/>
        </w:rPr>
        <w:t xml:space="preserve">Manage the patenting process with inventors and external legal counsel, from invention disclosure through prosecution, grant, and maintenance decisions.</w:t>
      </w:r>
    </w:p>
    <w:p>
      <w:pPr>
        <w:pStyle w:val="ListParagraph"/>
        <w:numPr>
          <w:ilvl w:val="0"/>
          <w:numId w:val="2"/>
        </w:numPr>
        <w:spacing w:after="90" w:line="300"/>
      </w:pPr>
      <w:r>
        <w:rPr>
          <w:rFonts w:ascii="Calibri" w:cs="Calibri" w:eastAsia="Calibri" w:hAnsi="Calibri"/>
          <w:color w:val="333333"/>
          <w:sz w:val="22"/>
          <w:szCs w:val="22"/>
        </w:rPr>
        <w:t xml:space="preserve">Maintain the IP portfolio with accurate records and full compliance with institutional policies, federal regulations, and sponsor agreements.</w:t>
      </w:r>
    </w:p>
    <w:p>
      <w:pPr>
        <w:spacing w:after="140" w:line="300"/>
      </w:pPr>
      <w:r>
        <w:rPr>
          <w:rFonts w:ascii="Calibri" w:cs="Calibri" w:eastAsia="Calibri" w:hAnsi="Calibri"/>
          <w:b/>
          <w:bCs/>
          <w:color w:val="2E4D7B"/>
          <w:sz w:val="22"/>
          <w:szCs w:val="22"/>
        </w:rPr>
        <w:t xml:space="preserve">Licensing, Commercialization &amp; Faculty Support</w:t>
      </w:r>
    </w:p>
    <w:p>
      <w:pPr>
        <w:pStyle w:val="ListParagraph"/>
        <w:numPr>
          <w:ilvl w:val="0"/>
          <w:numId w:val="2"/>
        </w:numPr>
        <w:spacing w:after="90" w:line="300"/>
      </w:pPr>
      <w:r>
        <w:rPr>
          <w:rFonts w:ascii="Calibri" w:cs="Calibri" w:eastAsia="Calibri" w:hAnsi="Calibri"/>
          <w:color w:val="333333"/>
          <w:sz w:val="22"/>
          <w:szCs w:val="22"/>
        </w:rPr>
        <w:t xml:space="preserve">Develop, negotiate, and execute licensing agreements with startups, corporations, investors, and nonprofits, securing terms that serve institutional and societal interests.</w:t>
      </w:r>
    </w:p>
    <w:p>
      <w:pPr>
        <w:pStyle w:val="ListParagraph"/>
        <w:numPr>
          <w:ilvl w:val="0"/>
          <w:numId w:val="2"/>
        </w:numPr>
        <w:spacing w:after="90" w:line="300"/>
      </w:pPr>
      <w:r>
        <w:rPr>
          <w:rFonts w:ascii="Calibri" w:cs="Calibri" w:eastAsia="Calibri" w:hAnsi="Calibri"/>
          <w:color w:val="333333"/>
          <w:sz w:val="22"/>
          <w:szCs w:val="22"/>
        </w:rPr>
        <w:t xml:space="preserve">Build relationships with industry, venture capital, incubators, and accelerators to promote commercialization and expand the institution's network.</w:t>
      </w:r>
    </w:p>
    <w:p>
      <w:pPr>
        <w:pStyle w:val="ListParagraph"/>
        <w:numPr>
          <w:ilvl w:val="0"/>
          <w:numId w:val="2"/>
        </w:numPr>
        <w:spacing w:after="90" w:line="300"/>
      </w:pPr>
      <w:r>
        <w:rPr>
          <w:rFonts w:ascii="Calibri" w:cs="Calibri" w:eastAsia="Calibri" w:hAnsi="Calibri"/>
          <w:color w:val="333333"/>
          <w:sz w:val="22"/>
          <w:szCs w:val="22"/>
        </w:rPr>
        <w:t xml:space="preserve">Educate faculty, researchers, and inventors about IP policy, invention disclosure, and commercialization pathways, and support spin-off companies and startups.</w:t>
      </w:r>
    </w:p>
    <w:p>
      <w:pPr>
        <w:spacing w:after="140" w:line="300"/>
      </w:pPr>
      <w:r>
        <w:rPr>
          <w:rFonts w:ascii="Calibri" w:cs="Calibri" w:eastAsia="Calibri" w:hAnsi="Calibri"/>
          <w:b/>
          <w:bCs/>
          <w:color w:val="2E4D7B"/>
          <w:sz w:val="22"/>
          <w:szCs w:val="22"/>
        </w:rPr>
        <w:t xml:space="preserve">Compliance &amp; Outreach</w:t>
      </w:r>
    </w:p>
    <w:p>
      <w:pPr>
        <w:pStyle w:val="ListParagraph"/>
        <w:numPr>
          <w:ilvl w:val="0"/>
          <w:numId w:val="2"/>
        </w:numPr>
        <w:spacing w:after="90" w:line="300"/>
      </w:pPr>
      <w:r>
        <w:rPr>
          <w:rFonts w:ascii="Calibri" w:cs="Calibri" w:eastAsia="Calibri" w:hAnsi="Calibri"/>
          <w:color w:val="333333"/>
          <w:sz w:val="22"/>
          <w:szCs w:val="22"/>
        </w:rPr>
        <w:t xml:space="preserve">Ensure compliance with federal technology transfer regulations, including the Bayh-Dole Act, export controls, and sponsored research IP provisions.</w:t>
      </w:r>
    </w:p>
    <w:p>
      <w:pPr>
        <w:pStyle w:val="ListParagraph"/>
        <w:numPr>
          <w:ilvl w:val="0"/>
          <w:numId w:val="2"/>
        </w:numPr>
        <w:spacing w:after="90" w:line="300"/>
      </w:pPr>
      <w:r>
        <w:rPr>
          <w:rFonts w:ascii="Calibri" w:cs="Calibri" w:eastAsia="Calibri" w:hAnsi="Calibri"/>
          <w:color w:val="333333"/>
          <w:sz w:val="22"/>
          <w:szCs w:val="22"/>
        </w:rPr>
        <w:t xml:space="preserve">Prepare and submit reports on IP activity, technology transfer metrics, licensing revenue, and commercialization outcomes.</w:t>
      </w:r>
    </w:p>
    <w:p>
      <w:pPr>
        <w:pStyle w:val="ListParagraph"/>
        <w:numPr>
          <w:ilvl w:val="0"/>
          <w:numId w:val="2"/>
        </w:numPr>
        <w:spacing w:after="90" w:line="300"/>
      </w:pPr>
      <w:r>
        <w:rPr>
          <w:rFonts w:ascii="Calibri" w:cs="Calibri" w:eastAsia="Calibri" w:hAnsi="Calibri"/>
          <w:color w:val="333333"/>
          <w:sz w:val="22"/>
          <w:szCs w:val="22"/>
        </w:rPr>
        <w:t xml:space="preserve">Represent the technology transfer office at industry conferences and forums to promote research capabilities and expand partnerships.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in a scientific, engineering, or legal field required; an advanced degree (Master's, PhD, or JD) is strongly preferred, especially a technical degree combined with business or legal training.</w:t>
      </w:r>
    </w:p>
    <w:p>
      <w:pPr>
        <w:pStyle w:val="ListParagraph"/>
        <w:numPr>
          <w:ilvl w:val="0"/>
          <w:numId w:val="2"/>
        </w:numPr>
        <w:spacing w:after="90" w:line="300"/>
      </w:pPr>
      <w:r>
        <w:rPr>
          <w:rFonts w:ascii="Calibri" w:cs="Calibri" w:eastAsia="Calibri" w:hAnsi="Calibri"/>
          <w:color w:val="333333"/>
          <w:sz w:val="22"/>
          <w:szCs w:val="22"/>
        </w:rPr>
        <w:t xml:space="preserve">Three to five years of experience in technology transfer, IP management, patent prosecution, licensing, or a closely related field.</w:t>
      </w:r>
    </w:p>
    <w:p>
      <w:pPr>
        <w:spacing w:after="140" w:line="300"/>
      </w:pPr>
      <w:r>
        <w:rPr>
          <w:rFonts w:ascii="Calibri" w:cs="Calibri" w:eastAsia="Calibri" w:hAnsi="Calibri"/>
          <w:b/>
          <w:bCs/>
          <w:color w:val="2E4D7B"/>
          <w:sz w:val="22"/>
          <w:szCs w:val="22"/>
        </w:rPr>
        <w:t xml:space="preserve">Technical, Legal &amp; Interpersonal</w:t>
      </w:r>
    </w:p>
    <w:p>
      <w:pPr>
        <w:pStyle w:val="ListParagraph"/>
        <w:numPr>
          <w:ilvl w:val="0"/>
          <w:numId w:val="2"/>
        </w:numPr>
        <w:spacing w:after="90" w:line="300"/>
      </w:pPr>
      <w:r>
        <w:rPr>
          <w:rFonts w:ascii="Calibri" w:cs="Calibri" w:eastAsia="Calibri" w:hAnsi="Calibri"/>
          <w:color w:val="333333"/>
          <w:sz w:val="22"/>
          <w:szCs w:val="22"/>
        </w:rPr>
        <w:t xml:space="preserve">Strong working knowledge of IP law, patent prosecution, licensing practices, and the Bayh-Dole Act and related federal regulations.</w:t>
      </w:r>
    </w:p>
    <w:p>
      <w:pPr>
        <w:pStyle w:val="ListParagraph"/>
        <w:numPr>
          <w:ilvl w:val="0"/>
          <w:numId w:val="2"/>
        </w:numPr>
        <w:spacing w:after="90" w:line="300"/>
      </w:pPr>
      <w:r>
        <w:rPr>
          <w:rFonts w:ascii="Calibri" w:cs="Calibri" w:eastAsia="Calibri" w:hAnsi="Calibri"/>
          <w:color w:val="333333"/>
          <w:sz w:val="22"/>
          <w:szCs w:val="22"/>
        </w:rPr>
        <w:t xml:space="preserve">Proven ability to evaluate technologies for market potential, commercial applicability, and IP strength across disciplines.</w:t>
      </w:r>
    </w:p>
    <w:p>
      <w:pPr>
        <w:pStyle w:val="ListParagraph"/>
        <w:numPr>
          <w:ilvl w:val="0"/>
          <w:numId w:val="2"/>
        </w:numPr>
        <w:spacing w:after="90" w:line="300"/>
      </w:pPr>
      <w:r>
        <w:rPr>
          <w:rFonts w:ascii="Calibri" w:cs="Calibri" w:eastAsia="Calibri" w:hAnsi="Calibri"/>
          <w:color w:val="333333"/>
          <w:sz w:val="22"/>
          <w:szCs w:val="22"/>
        </w:rPr>
        <w:t xml:space="preserve">Excellent negotiation, communication, and project-management skills, with the ability to engage credibly across inventors, attorneys, executives, and investors, and genuine familiarity with academic research culture.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Technology Transfer Officer?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