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System Medical Director, Occupational Health</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 System Medical Director, Occupational Health supports the strategic vision and direction of occupational health and employee health services across an integrated healthcare system. The role provides clinical leadership for occupational health and workers compensation matters, acts as the medical subject matter expert on occupational claims, and carries fiscal oversight as the system director for enterprise occupational claims.</w:t>
      </w:r>
    </w:p>
    <w:p>
      <w:pPr>
        <w:spacing w:after="140" w:line="300"/>
      </w:pPr>
      <w:r>
        <w:rPr>
          <w:rFonts w:ascii="Calibri" w:cs="Calibri" w:eastAsia="Calibri" w:hAnsi="Calibri"/>
          <w:color w:val="333333"/>
          <w:sz w:val="22"/>
          <w:szCs w:val="22"/>
        </w:rPr>
        <w:t xml:space="preserve">The position pairs physician-level clinical authority with the operational leadership to run a complex, multi-site program at scale. It is a senior physician leadership role within the healthcare sector.</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Clinical Care &amp; Quality</w:t>
      </w:r>
    </w:p>
    <w:p>
      <w:pPr>
        <w:pStyle w:val="ListParagraph"/>
        <w:numPr>
          <w:ilvl w:val="0"/>
          <w:numId w:val="2"/>
        </w:numPr>
        <w:spacing w:after="90" w:line="300"/>
      </w:pPr>
      <w:r>
        <w:rPr>
          <w:rFonts w:ascii="Calibri" w:cs="Calibri" w:eastAsia="Calibri" w:hAnsi="Calibri"/>
          <w:color w:val="333333"/>
          <w:sz w:val="22"/>
          <w:szCs w:val="22"/>
        </w:rPr>
        <w:t xml:space="preserve">Hold responsibility for the quality of medical care delivered in the system's employee health and occupational medicine practices.</w:t>
      </w:r>
    </w:p>
    <w:p>
      <w:pPr>
        <w:pStyle w:val="ListParagraph"/>
        <w:numPr>
          <w:ilvl w:val="0"/>
          <w:numId w:val="2"/>
        </w:numPr>
        <w:spacing w:after="90" w:line="300"/>
      </w:pPr>
      <w:r>
        <w:rPr>
          <w:rFonts w:ascii="Calibri" w:cs="Calibri" w:eastAsia="Calibri" w:hAnsi="Calibri"/>
          <w:color w:val="333333"/>
          <w:sz w:val="22"/>
          <w:szCs w:val="22"/>
        </w:rPr>
        <w:t xml:space="preserve">Deliver clinical care to employees, particularly in complex cases, and resolve patient-related issues requiring medical expertise.</w:t>
      </w:r>
    </w:p>
    <w:p>
      <w:pPr>
        <w:pStyle w:val="ListParagraph"/>
        <w:numPr>
          <w:ilvl w:val="0"/>
          <w:numId w:val="2"/>
        </w:numPr>
        <w:spacing w:after="90" w:line="300"/>
      </w:pPr>
      <w:r>
        <w:rPr>
          <w:rFonts w:ascii="Calibri" w:cs="Calibri" w:eastAsia="Calibri" w:hAnsi="Calibri"/>
          <w:color w:val="333333"/>
          <w:sz w:val="22"/>
          <w:szCs w:val="22"/>
        </w:rPr>
        <w:t xml:space="preserve">Conduct analyses on the quality of occupational health and employee health programs and ensure corrective action where needed.</w:t>
      </w:r>
    </w:p>
    <w:p>
      <w:pPr>
        <w:spacing w:after="140" w:line="300"/>
      </w:pPr>
      <w:r>
        <w:rPr>
          <w:rFonts w:ascii="Calibri" w:cs="Calibri" w:eastAsia="Calibri" w:hAnsi="Calibri"/>
          <w:b/>
          <w:bCs/>
          <w:color w:val="2E4D7B"/>
          <w:sz w:val="22"/>
          <w:szCs w:val="22"/>
        </w:rPr>
        <w:t xml:space="preserve">Program, Policy &amp; Safety</w:t>
      </w:r>
    </w:p>
    <w:p>
      <w:pPr>
        <w:pStyle w:val="ListParagraph"/>
        <w:numPr>
          <w:ilvl w:val="0"/>
          <w:numId w:val="2"/>
        </w:numPr>
        <w:spacing w:after="90" w:line="300"/>
      </w:pPr>
      <w:r>
        <w:rPr>
          <w:rFonts w:ascii="Calibri" w:cs="Calibri" w:eastAsia="Calibri" w:hAnsi="Calibri"/>
          <w:color w:val="333333"/>
          <w:sz w:val="22"/>
          <w:szCs w:val="22"/>
        </w:rPr>
        <w:t xml:space="preserve">Collaborate on policies promoting employee wellness, infectious disease mitigation, and general employee safety, and develop and maintain clinical policies and practices.</w:t>
      </w:r>
    </w:p>
    <w:p>
      <w:pPr>
        <w:pStyle w:val="ListParagraph"/>
        <w:numPr>
          <w:ilvl w:val="0"/>
          <w:numId w:val="2"/>
        </w:numPr>
        <w:spacing w:after="90" w:line="300"/>
      </w:pPr>
      <w:r>
        <w:rPr>
          <w:rFonts w:ascii="Calibri" w:cs="Calibri" w:eastAsia="Calibri" w:hAnsi="Calibri"/>
          <w:color w:val="333333"/>
          <w:sz w:val="22"/>
          <w:szCs w:val="22"/>
        </w:rPr>
        <w:t xml:space="preserve">Support the epidemiology, infection control, and prevention function in controlling outbreaks and managing employee exposure to infection.</w:t>
      </w:r>
    </w:p>
    <w:p>
      <w:pPr>
        <w:pStyle w:val="ListParagraph"/>
        <w:numPr>
          <w:ilvl w:val="0"/>
          <w:numId w:val="2"/>
        </w:numPr>
        <w:spacing w:after="90" w:line="300"/>
      </w:pPr>
      <w:r>
        <w:rPr>
          <w:rFonts w:ascii="Calibri" w:cs="Calibri" w:eastAsia="Calibri" w:hAnsi="Calibri"/>
          <w:color w:val="333333"/>
          <w:sz w:val="22"/>
          <w:szCs w:val="22"/>
        </w:rPr>
        <w:t xml:space="preserve">Support the worker safety program, participate in committees, and support safety and OSHA investigations.</w:t>
      </w:r>
    </w:p>
    <w:p>
      <w:pPr>
        <w:spacing w:after="140" w:line="300"/>
      </w:pPr>
      <w:r>
        <w:rPr>
          <w:rFonts w:ascii="Calibri" w:cs="Calibri" w:eastAsia="Calibri" w:hAnsi="Calibri"/>
          <w:b/>
          <w:bCs/>
          <w:color w:val="2E4D7B"/>
          <w:sz w:val="22"/>
          <w:szCs w:val="22"/>
        </w:rPr>
        <w:t xml:space="preserve">People &amp; Compliance</w:t>
      </w:r>
    </w:p>
    <w:p>
      <w:pPr>
        <w:pStyle w:val="ListParagraph"/>
        <w:numPr>
          <w:ilvl w:val="0"/>
          <w:numId w:val="2"/>
        </w:numPr>
        <w:spacing w:after="90" w:line="300"/>
      </w:pPr>
      <w:r>
        <w:rPr>
          <w:rFonts w:ascii="Calibri" w:cs="Calibri" w:eastAsia="Calibri" w:hAnsi="Calibri"/>
          <w:color w:val="333333"/>
          <w:sz w:val="22"/>
          <w:szCs w:val="22"/>
        </w:rPr>
        <w:t xml:space="preserve">Supervise physicians and advanced practice providers in employee health and occupational medicine, overseeing recruitment, retention, and professional growth.</w:t>
      </w:r>
    </w:p>
    <w:p>
      <w:pPr>
        <w:pStyle w:val="ListParagraph"/>
        <w:numPr>
          <w:ilvl w:val="0"/>
          <w:numId w:val="2"/>
        </w:numPr>
        <w:spacing w:after="90" w:line="300"/>
      </w:pPr>
      <w:r>
        <w:rPr>
          <w:rFonts w:ascii="Calibri" w:cs="Calibri" w:eastAsia="Calibri" w:hAnsi="Calibri"/>
          <w:color w:val="333333"/>
          <w:sz w:val="22"/>
          <w:szCs w:val="22"/>
        </w:rPr>
        <w:t xml:space="preserve">Identify opportunities to improve the employee experience and ensure program compliance with regulatory agencies and system policy.</w:t>
      </w:r>
    </w:p>
    <w:p>
      <w:pPr>
        <w:pStyle w:val="ListParagraph"/>
        <w:numPr>
          <w:ilvl w:val="0"/>
          <w:numId w:val="2"/>
        </w:numPr>
        <w:spacing w:after="90" w:line="300"/>
      </w:pPr>
      <w:r>
        <w:rPr>
          <w:rFonts w:ascii="Calibri" w:cs="Calibri" w:eastAsia="Calibri" w:hAnsi="Calibri"/>
          <w:color w:val="333333"/>
          <w:sz w:val="22"/>
          <w:szCs w:val="22"/>
        </w:rPr>
        <w:t xml:space="preserve">Serve as a clinical resource and consultant in occupational health to other departments and client companies.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Certification &amp; Licensure</w:t>
      </w:r>
    </w:p>
    <w:p>
      <w:pPr>
        <w:pStyle w:val="ListParagraph"/>
        <w:numPr>
          <w:ilvl w:val="0"/>
          <w:numId w:val="2"/>
        </w:numPr>
        <w:spacing w:after="90" w:line="300"/>
      </w:pPr>
      <w:r>
        <w:rPr>
          <w:rFonts w:ascii="Calibri" w:cs="Calibri" w:eastAsia="Calibri" w:hAnsi="Calibri"/>
          <w:color w:val="333333"/>
          <w:sz w:val="22"/>
          <w:szCs w:val="22"/>
        </w:rPr>
        <w:t xml:space="preserve">Board certified or board eligible in Occupational Medicine, with a current, unrestricted medical license and good standing with the medical staff and medical group.</w:t>
      </w:r>
    </w:p>
    <w:p>
      <w:pPr>
        <w:pStyle w:val="ListParagraph"/>
        <w:numPr>
          <w:ilvl w:val="0"/>
          <w:numId w:val="2"/>
        </w:numPr>
        <w:spacing w:after="90" w:line="300"/>
      </w:pPr>
      <w:r>
        <w:rPr>
          <w:rFonts w:ascii="Calibri" w:cs="Calibri" w:eastAsia="Calibri" w:hAnsi="Calibri"/>
          <w:color w:val="333333"/>
          <w:sz w:val="22"/>
          <w:szCs w:val="22"/>
        </w:rPr>
        <w:t xml:space="preserve">OSHA certification and MRO (Medical Review Officer) certification required, with a commitment to ongoing physician education and management training.</w:t>
      </w:r>
    </w:p>
    <w:p>
      <w:pPr>
        <w:spacing w:after="140" w:line="300"/>
      </w:pPr>
      <w:r>
        <w:rPr>
          <w:rFonts w:ascii="Calibri" w:cs="Calibri" w:eastAsia="Calibri" w:hAnsi="Calibri"/>
          <w:b/>
          <w:bCs/>
          <w:color w:val="2E4D7B"/>
          <w:sz w:val="22"/>
          <w:szCs w:val="22"/>
        </w:rPr>
        <w:t xml:space="preserve">Knowledge &amp; Competencies</w:t>
      </w:r>
    </w:p>
    <w:p>
      <w:pPr>
        <w:pStyle w:val="ListParagraph"/>
        <w:numPr>
          <w:ilvl w:val="0"/>
          <w:numId w:val="2"/>
        </w:numPr>
        <w:spacing w:after="90" w:line="300"/>
      </w:pPr>
      <w:r>
        <w:rPr>
          <w:rFonts w:ascii="Calibri" w:cs="Calibri" w:eastAsia="Calibri" w:hAnsi="Calibri"/>
          <w:color w:val="333333"/>
          <w:sz w:val="22"/>
          <w:szCs w:val="22"/>
        </w:rPr>
        <w:t xml:space="preserve">Strong knowledge of workers compensation clinical and administrative processes and applicable state workers compensation systems and regulations.</w:t>
      </w:r>
    </w:p>
    <w:p>
      <w:pPr>
        <w:pStyle w:val="ListParagraph"/>
        <w:numPr>
          <w:ilvl w:val="0"/>
          <w:numId w:val="2"/>
        </w:numPr>
        <w:spacing w:after="90" w:line="300"/>
      </w:pPr>
      <w:r>
        <w:rPr>
          <w:rFonts w:ascii="Calibri" w:cs="Calibri" w:eastAsia="Calibri" w:hAnsi="Calibri"/>
          <w:color w:val="333333"/>
          <w:sz w:val="22"/>
          <w:szCs w:val="22"/>
        </w:rPr>
        <w:t xml:space="preserve">Understanding of the OSHA, ADA, FMLA, and GINA legislative frameworks.</w:t>
      </w:r>
    </w:p>
    <w:p>
      <w:pPr>
        <w:pStyle w:val="ListParagraph"/>
        <w:numPr>
          <w:ilvl w:val="0"/>
          <w:numId w:val="2"/>
        </w:numPr>
        <w:spacing w:after="90" w:line="300"/>
      </w:pPr>
      <w:r>
        <w:rPr>
          <w:rFonts w:ascii="Calibri" w:cs="Calibri" w:eastAsia="Calibri" w:hAnsi="Calibri"/>
          <w:color w:val="333333"/>
          <w:sz w:val="22"/>
          <w:szCs w:val="22"/>
        </w:rPr>
        <w:t xml:space="preserve">Excellent oral and written communication, strong teaching skills, and comfort working within a matrix organization.</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System Medical Director, Occupational Health?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