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Locum Tenens Physician</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 locum tenens physician provides temporary clinical coverage at hospitals, clinics, and health systems experiencing physician shortages, leaves, or vacancies. The role delivers patient care within the physician's specialty during each assignment, which may last days, weeks, or months, while adapting quickly to new facilities, teams, and electronic health records.</w:t>
      </w:r>
    </w:p>
    <w:p>
      <w:pPr>
        <w:spacing w:after="140" w:line="300"/>
      </w:pPr>
      <w:r>
        <w:rPr>
          <w:rFonts w:ascii="Calibri" w:cs="Calibri" w:eastAsia="Calibri" w:hAnsi="Calibri"/>
          <w:color w:val="333333"/>
          <w:sz w:val="22"/>
          <w:szCs w:val="22"/>
        </w:rPr>
        <w:t xml:space="preserve">It combines specialty clinical practice with the flexibility of contract work. It is a temporary physician staffing role within the healthcare and staffing markets.</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Clinical Coverage</w:t>
      </w:r>
    </w:p>
    <w:p>
      <w:pPr>
        <w:pStyle w:val="ListParagraph"/>
        <w:numPr>
          <w:ilvl w:val="0"/>
          <w:numId w:val="2"/>
        </w:numPr>
        <w:spacing w:after="90" w:line="300"/>
      </w:pPr>
      <w:r>
        <w:rPr>
          <w:rFonts w:ascii="Calibri" w:cs="Calibri" w:eastAsia="Calibri" w:hAnsi="Calibri"/>
          <w:color w:val="333333"/>
          <w:sz w:val="22"/>
          <w:szCs w:val="22"/>
        </w:rPr>
        <w:t xml:space="preserve">Provide patient evaluation, diagnosis, treatment, and procedures within the physician's specialty and scope.</w:t>
      </w:r>
    </w:p>
    <w:p>
      <w:pPr>
        <w:pStyle w:val="ListParagraph"/>
        <w:numPr>
          <w:ilvl w:val="0"/>
          <w:numId w:val="2"/>
        </w:numPr>
        <w:spacing w:after="90" w:line="300"/>
      </w:pPr>
      <w:r>
        <w:rPr>
          <w:rFonts w:ascii="Calibri" w:cs="Calibri" w:eastAsia="Calibri" w:hAnsi="Calibri"/>
          <w:color w:val="333333"/>
          <w:sz w:val="22"/>
          <w:szCs w:val="22"/>
        </w:rPr>
        <w:t xml:space="preserve">Cover inpatient, outpatient, on-call, or procedural responsibilities as defined by the assignment.</w:t>
      </w:r>
    </w:p>
    <w:p>
      <w:pPr>
        <w:pStyle w:val="ListParagraph"/>
        <w:numPr>
          <w:ilvl w:val="0"/>
          <w:numId w:val="2"/>
        </w:numPr>
        <w:spacing w:after="90" w:line="300"/>
      </w:pPr>
      <w:r>
        <w:rPr>
          <w:rFonts w:ascii="Calibri" w:cs="Calibri" w:eastAsia="Calibri" w:hAnsi="Calibri"/>
          <w:color w:val="333333"/>
          <w:sz w:val="22"/>
          <w:szCs w:val="22"/>
        </w:rPr>
        <w:t xml:space="preserve">Maintain continuity of care and clear handoffs with the facility's permanent staff.</w:t>
      </w:r>
    </w:p>
    <w:p>
      <w:pPr>
        <w:spacing w:after="140" w:line="300"/>
      </w:pPr>
      <w:r>
        <w:rPr>
          <w:rFonts w:ascii="Calibri" w:cs="Calibri" w:eastAsia="Calibri" w:hAnsi="Calibri"/>
          <w:b/>
          <w:bCs/>
          <w:color w:val="2E4D7B"/>
          <w:sz w:val="22"/>
          <w:szCs w:val="22"/>
        </w:rPr>
        <w:t xml:space="preserve">Adaptation &amp; Onboarding</w:t>
      </w:r>
    </w:p>
    <w:p>
      <w:pPr>
        <w:pStyle w:val="ListParagraph"/>
        <w:numPr>
          <w:ilvl w:val="0"/>
          <w:numId w:val="2"/>
        </w:numPr>
        <w:spacing w:after="90" w:line="300"/>
      </w:pPr>
      <w:r>
        <w:rPr>
          <w:rFonts w:ascii="Calibri" w:cs="Calibri" w:eastAsia="Calibri" w:hAnsi="Calibri"/>
          <w:color w:val="333333"/>
          <w:sz w:val="22"/>
          <w:szCs w:val="22"/>
        </w:rPr>
        <w:t xml:space="preserve">Learn and follow each facility's clinical protocols, electronic health record, and workflows quickly.</w:t>
      </w:r>
    </w:p>
    <w:p>
      <w:pPr>
        <w:pStyle w:val="ListParagraph"/>
        <w:numPr>
          <w:ilvl w:val="0"/>
          <w:numId w:val="2"/>
        </w:numPr>
        <w:spacing w:after="90" w:line="300"/>
      </w:pPr>
      <w:r>
        <w:rPr>
          <w:rFonts w:ascii="Calibri" w:cs="Calibri" w:eastAsia="Calibri" w:hAnsi="Calibri"/>
          <w:color w:val="333333"/>
          <w:sz w:val="22"/>
          <w:szCs w:val="22"/>
        </w:rPr>
        <w:t xml:space="preserve">Integrate effectively into new clinical teams and support staff at each assignment.</w:t>
      </w:r>
    </w:p>
    <w:p>
      <w:pPr>
        <w:pStyle w:val="ListParagraph"/>
        <w:numPr>
          <w:ilvl w:val="0"/>
          <w:numId w:val="2"/>
        </w:numPr>
        <w:spacing w:after="90" w:line="300"/>
      </w:pPr>
      <w:r>
        <w:rPr>
          <w:rFonts w:ascii="Calibri" w:cs="Calibri" w:eastAsia="Calibri" w:hAnsi="Calibri"/>
          <w:color w:val="333333"/>
          <w:sz w:val="22"/>
          <w:szCs w:val="22"/>
        </w:rPr>
        <w:t xml:space="preserve">Complete orientation and onboarding efficiently to begin coverage on schedule.</w:t>
      </w:r>
    </w:p>
    <w:p>
      <w:pPr>
        <w:spacing w:after="140" w:line="300"/>
      </w:pPr>
      <w:r>
        <w:rPr>
          <w:rFonts w:ascii="Calibri" w:cs="Calibri" w:eastAsia="Calibri" w:hAnsi="Calibri"/>
          <w:b/>
          <w:bCs/>
          <w:color w:val="2E4D7B"/>
          <w:sz w:val="22"/>
          <w:szCs w:val="22"/>
        </w:rPr>
        <w:t xml:space="preserve">Credentialing &amp; Compliance</w:t>
      </w:r>
    </w:p>
    <w:p>
      <w:pPr>
        <w:pStyle w:val="ListParagraph"/>
        <w:numPr>
          <w:ilvl w:val="0"/>
          <w:numId w:val="2"/>
        </w:numPr>
        <w:spacing w:after="90" w:line="300"/>
      </w:pPr>
      <w:r>
        <w:rPr>
          <w:rFonts w:ascii="Calibri" w:cs="Calibri" w:eastAsia="Calibri" w:hAnsi="Calibri"/>
          <w:color w:val="333333"/>
          <w:sz w:val="22"/>
          <w:szCs w:val="22"/>
        </w:rPr>
        <w:t xml:space="preserve">Maintain active licensure, board certification, DEA registration, and an organized credentialing file.</w:t>
      </w:r>
    </w:p>
    <w:p>
      <w:pPr>
        <w:pStyle w:val="ListParagraph"/>
        <w:numPr>
          <w:ilvl w:val="0"/>
          <w:numId w:val="2"/>
        </w:numPr>
        <w:spacing w:after="90" w:line="300"/>
      </w:pPr>
      <w:r>
        <w:rPr>
          <w:rFonts w:ascii="Calibri" w:cs="Calibri" w:eastAsia="Calibri" w:hAnsi="Calibri"/>
          <w:color w:val="333333"/>
          <w:sz w:val="22"/>
          <w:szCs w:val="22"/>
        </w:rPr>
        <w:t xml:space="preserve">Complete facility credentialing and privileging and obtain state licensure for each assignment location.</w:t>
      </w:r>
    </w:p>
    <w:p>
      <w:pPr>
        <w:pStyle w:val="ListParagraph"/>
        <w:numPr>
          <w:ilvl w:val="0"/>
          <w:numId w:val="2"/>
        </w:numPr>
        <w:spacing w:after="90" w:line="300"/>
      </w:pPr>
      <w:r>
        <w:rPr>
          <w:rFonts w:ascii="Calibri" w:cs="Calibri" w:eastAsia="Calibri" w:hAnsi="Calibri"/>
          <w:color w:val="333333"/>
          <w:sz w:val="22"/>
          <w:szCs w:val="22"/>
        </w:rPr>
        <w:t xml:space="preserve">Document care accurately and adhere to quality, safety, and regulatory standards.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Licensure</w:t>
      </w:r>
    </w:p>
    <w:p>
      <w:pPr>
        <w:pStyle w:val="ListParagraph"/>
        <w:numPr>
          <w:ilvl w:val="0"/>
          <w:numId w:val="2"/>
        </w:numPr>
        <w:spacing w:after="90" w:line="300"/>
      </w:pPr>
      <w:r>
        <w:rPr>
          <w:rFonts w:ascii="Calibri" w:cs="Calibri" w:eastAsia="Calibri" w:hAnsi="Calibri"/>
          <w:color w:val="333333"/>
          <w:sz w:val="22"/>
          <w:szCs w:val="22"/>
        </w:rPr>
        <w:t xml:space="preserve">MD or DO degree and completion of residency in the relevant specialty.</w:t>
      </w:r>
    </w:p>
    <w:p>
      <w:pPr>
        <w:pStyle w:val="ListParagraph"/>
        <w:numPr>
          <w:ilvl w:val="0"/>
          <w:numId w:val="2"/>
        </w:numPr>
        <w:spacing w:after="90" w:line="300"/>
      </w:pPr>
      <w:r>
        <w:rPr>
          <w:rFonts w:ascii="Calibri" w:cs="Calibri" w:eastAsia="Calibri" w:hAnsi="Calibri"/>
          <w:color w:val="333333"/>
          <w:sz w:val="22"/>
          <w:szCs w:val="22"/>
        </w:rPr>
        <w:t xml:space="preserve">Active, unrestricted medical licensure, with multi-state licensure an asset, and current DEA registration.</w:t>
      </w:r>
    </w:p>
    <w:p>
      <w:pPr>
        <w:pStyle w:val="ListParagraph"/>
        <w:numPr>
          <w:ilvl w:val="0"/>
          <w:numId w:val="2"/>
        </w:numPr>
        <w:spacing w:after="90" w:line="300"/>
      </w:pPr>
      <w:r>
        <w:rPr>
          <w:rFonts w:ascii="Calibri" w:cs="Calibri" w:eastAsia="Calibri" w:hAnsi="Calibri"/>
          <w:color w:val="333333"/>
          <w:sz w:val="22"/>
          <w:szCs w:val="22"/>
        </w:rPr>
        <w:t xml:space="preserve">Board certification or board eligibility in the practicing specialty.</w:t>
      </w:r>
    </w:p>
    <w:p>
      <w:pPr>
        <w:spacing w:after="140" w:line="300"/>
      </w:pPr>
      <w:r>
        <w:rPr>
          <w:rFonts w:ascii="Calibri" w:cs="Calibri" w:eastAsia="Calibri" w:hAnsi="Calibri"/>
          <w:b/>
          <w:bCs/>
          <w:color w:val="2E4D7B"/>
          <w:sz w:val="22"/>
          <w:szCs w:val="22"/>
        </w:rPr>
        <w:t xml:space="preserve">Attributes</w:t>
      </w:r>
    </w:p>
    <w:p>
      <w:pPr>
        <w:pStyle w:val="ListParagraph"/>
        <w:numPr>
          <w:ilvl w:val="0"/>
          <w:numId w:val="2"/>
        </w:numPr>
        <w:spacing w:after="90" w:line="300"/>
      </w:pPr>
      <w:r>
        <w:rPr>
          <w:rFonts w:ascii="Calibri" w:cs="Calibri" w:eastAsia="Calibri" w:hAnsi="Calibri"/>
          <w:color w:val="333333"/>
          <w:sz w:val="22"/>
          <w:szCs w:val="22"/>
        </w:rPr>
        <w:t xml:space="preserve">Clinical versatility and the ability to perform effectively from the first day of an assignment.</w:t>
      </w:r>
    </w:p>
    <w:p>
      <w:pPr>
        <w:pStyle w:val="ListParagraph"/>
        <w:numPr>
          <w:ilvl w:val="0"/>
          <w:numId w:val="2"/>
        </w:numPr>
        <w:spacing w:after="90" w:line="300"/>
      </w:pPr>
      <w:r>
        <w:rPr>
          <w:rFonts w:ascii="Calibri" w:cs="Calibri" w:eastAsia="Calibri" w:hAnsi="Calibri"/>
          <w:color w:val="333333"/>
          <w:sz w:val="22"/>
          <w:szCs w:val="22"/>
        </w:rPr>
        <w:t xml:space="preserve">Strong adaptability, communication, and self-direction across varied facilities and teams.</w:t>
      </w:r>
    </w:p>
    <w:p>
      <w:pPr>
        <w:pStyle w:val="ListParagraph"/>
        <w:numPr>
          <w:ilvl w:val="0"/>
          <w:numId w:val="2"/>
        </w:numPr>
        <w:spacing w:after="90" w:line="300"/>
      </w:pPr>
      <w:r>
        <w:rPr>
          <w:rFonts w:ascii="Calibri" w:cs="Calibri" w:eastAsia="Calibri" w:hAnsi="Calibri"/>
          <w:color w:val="333333"/>
          <w:sz w:val="22"/>
          <w:szCs w:val="22"/>
        </w:rPr>
        <w:t xml:space="preserve">Flexibility to travel and maintain assignment-ready credentials.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Locum Tenens Physician?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