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Montserrat" w:cs="Montserrat" w:eastAsia="Montserrat" w:hAnsi="Montserrat"/>
          <w:b/>
          <w:bCs/>
          <w:color w:val="A61E22"/>
          <w:sz w:val="18"/>
          <w:szCs w:val="18"/>
        </w:rPr>
        <w:t xml:space="preserve">JOB DESCRIPTION TEMPLATE</w:t>
      </w:r>
    </w:p>
    <w:p>
      <w:pPr>
        <w:pBdr>
          <w:bottom w:val="single" w:color="2E4D7B" w:sz="8" w:space="6"/>
        </w:pBdr>
        <w:spacing w:after="120"/>
      </w:pPr>
      <w:r>
        <w:rPr>
          <w:rFonts w:ascii="Montserrat" w:cs="Montserrat" w:eastAsia="Montserrat" w:hAnsi="Montserrat"/>
          <w:b/>
          <w:bCs/>
          <w:color w:val="2E4D7B"/>
          <w:sz w:val="44"/>
          <w:szCs w:val="44"/>
        </w:rPr>
        <w:t xml:space="preserve">Locum Tenens CRNA</w:t>
      </w:r>
    </w:p>
    <w:p>
      <w:pPr>
        <w:spacing w:after="140" w:line="300"/>
      </w:pPr>
      <w:r>
        <w:rPr>
          <w:rFonts w:ascii="Calibri" w:cs="Calibri" w:eastAsia="Calibri" w:hAnsi="Calibri"/>
          <w:i/>
          <w:iCs/>
          <w:color w:val="666666"/>
          <w:sz w:val="20"/>
          <w:szCs w:val="20"/>
        </w:rPr>
        <w:t xml:space="preserve">Provided by Excelon Associates, excelonassociates.com. Replace the bracketed placeholders with your institution details and adapt any section to fit your posting.</w:t>
      </w:r>
    </w:p>
    <w:p>
      <w:pPr>
        <w:pStyle w:val="Heading1"/>
        <w:spacing w:after="140" w:before="320"/>
      </w:pPr>
      <w:r>
        <w:rPr>
          <w:rFonts w:ascii="Montserrat" w:cs="Montserrat" w:eastAsia="Montserrat" w:hAnsi="Montserrat"/>
          <w:b/>
          <w:bCs/>
          <w:color w:val="2E4D7B"/>
          <w:sz w:val="26"/>
          <w:szCs w:val="26"/>
        </w:rPr>
        <w:t xml:space="preserve">Position Details</w:t>
      </w:r>
    </w:p>
    <w:p>
      <w:pPr>
        <w:spacing w:after="80"/>
      </w:pPr>
      <w:r>
        <w:rPr>
          <w:rFonts w:ascii="Calibri" w:cs="Calibri" w:eastAsia="Calibri" w:hAnsi="Calibri"/>
          <w:b/>
          <w:bCs/>
          <w:color w:val="2E4D7B"/>
          <w:sz w:val="22"/>
          <w:szCs w:val="22"/>
        </w:rPr>
        <w:t xml:space="preserve">Institution: </w:t>
      </w:r>
      <w:r>
        <w:rPr>
          <w:rFonts w:ascii="Calibri" w:cs="Calibri" w:eastAsia="Calibri" w:hAnsi="Calibri"/>
          <w:color w:val="333333"/>
          <w:sz w:val="22"/>
          <w:szCs w:val="22"/>
        </w:rPr>
        <w:t xml:space="preserve">[Institution Name]</w:t>
      </w:r>
    </w:p>
    <w:p>
      <w:pPr>
        <w:spacing w:after="80"/>
      </w:pPr>
      <w:r>
        <w:rPr>
          <w:rFonts w:ascii="Calibri" w:cs="Calibri" w:eastAsia="Calibri" w:hAnsi="Calibri"/>
          <w:b/>
          <w:bCs/>
          <w:color w:val="2E4D7B"/>
          <w:sz w:val="22"/>
          <w:szCs w:val="22"/>
        </w:rPr>
        <w:t xml:space="preserve">Location: </w:t>
      </w:r>
      <w:r>
        <w:rPr>
          <w:rFonts w:ascii="Calibri" w:cs="Calibri" w:eastAsia="Calibri" w:hAnsi="Calibri"/>
          <w:color w:val="333333"/>
          <w:sz w:val="22"/>
          <w:szCs w:val="22"/>
        </w:rPr>
        <w:t xml:space="preserve">[City, State]</w:t>
      </w:r>
    </w:p>
    <w:p>
      <w:pPr>
        <w:spacing w:after="80"/>
      </w:pPr>
      <w:r>
        <w:rPr>
          <w:rFonts w:ascii="Calibri" w:cs="Calibri" w:eastAsia="Calibri" w:hAnsi="Calibri"/>
          <w:b/>
          <w:bCs/>
          <w:color w:val="2E4D7B"/>
          <w:sz w:val="22"/>
          <w:szCs w:val="22"/>
        </w:rPr>
        <w:t xml:space="preserve">Reports To: </w:t>
      </w:r>
      <w:r>
        <w:rPr>
          <w:rFonts w:ascii="Calibri" w:cs="Calibri" w:eastAsia="Calibri" w:hAnsi="Calibri"/>
          <w:color w:val="333333"/>
          <w:sz w:val="22"/>
          <w:szCs w:val="22"/>
        </w:rPr>
        <w:t xml:space="preserve">[Reports To]</w:t>
      </w:r>
    </w:p>
    <w:p>
      <w:pPr>
        <w:spacing w:after="80"/>
      </w:pPr>
      <w:r>
        <w:rPr>
          <w:rFonts w:ascii="Calibri" w:cs="Calibri" w:eastAsia="Calibri" w:hAnsi="Calibri"/>
          <w:b/>
          <w:bCs/>
          <w:color w:val="2E4D7B"/>
          <w:sz w:val="22"/>
          <w:szCs w:val="22"/>
        </w:rPr>
        <w:t xml:space="preserve">Classification: </w:t>
      </w:r>
      <w:r>
        <w:rPr>
          <w:rFonts w:ascii="Calibri" w:cs="Calibri" w:eastAsia="Calibri" w:hAnsi="Calibri"/>
          <w:color w:val="333333"/>
          <w:sz w:val="22"/>
          <w:szCs w:val="22"/>
        </w:rPr>
        <w:t xml:space="preserve">[Full Time, Exempt]</w:t>
      </w:r>
    </w:p>
    <w:p>
      <w:pPr>
        <w:spacing w:after="80"/>
      </w:pPr>
      <w:r>
        <w:rPr>
          <w:rFonts w:ascii="Calibri" w:cs="Calibri" w:eastAsia="Calibri" w:hAnsi="Calibri"/>
          <w:b/>
          <w:bCs/>
          <w:color w:val="2E4D7B"/>
          <w:sz w:val="22"/>
          <w:szCs w:val="22"/>
        </w:rPr>
        <w:t xml:space="preserve">Salary Range: </w:t>
      </w:r>
      <w:r>
        <w:rPr>
          <w:rFonts w:ascii="Calibri" w:cs="Calibri" w:eastAsia="Calibri" w:hAnsi="Calibri"/>
          <w:color w:val="333333"/>
          <w:sz w:val="22"/>
          <w:szCs w:val="22"/>
        </w:rPr>
        <w:t xml:space="preserve">[Salary Range]</w:t>
      </w:r>
    </w:p>
    <w:p>
      <w:pPr>
        <w:pStyle w:val="Heading1"/>
        <w:spacing w:after="140" w:before="320"/>
      </w:pPr>
      <w:r>
        <w:rPr>
          <w:rFonts w:ascii="Montserrat" w:cs="Montserrat" w:eastAsia="Montserrat" w:hAnsi="Montserrat"/>
          <w:b/>
          <w:bCs/>
          <w:color w:val="2E4D7B"/>
          <w:sz w:val="26"/>
          <w:szCs w:val="26"/>
        </w:rPr>
        <w:t xml:space="preserve">About the Role</w:t>
      </w:r>
    </w:p>
    <w:p>
      <w:pPr>
        <w:spacing w:after="140" w:line="300"/>
      </w:pPr>
      <w:r>
        <w:rPr>
          <w:rFonts w:ascii="Calibri" w:cs="Calibri" w:eastAsia="Calibri" w:hAnsi="Calibri"/>
          <w:color w:val="333333"/>
          <w:sz w:val="22"/>
          <w:szCs w:val="22"/>
        </w:rPr>
        <w:t xml:space="preserve">A locum tenens CRNA provides temporary nurse anesthesia coverage at hospitals, surgery centers, and clinics experiencing staffing gaps, leaves, or vacancies. The role delivers the full scope of anesthesia care during each assignment, which may range from a single day to several months, while adapting quickly to new teams, equipment, and protocols.</w:t>
      </w:r>
    </w:p>
    <w:p>
      <w:pPr>
        <w:spacing w:after="140" w:line="300"/>
      </w:pPr>
      <w:r>
        <w:rPr>
          <w:rFonts w:ascii="Calibri" w:cs="Calibri" w:eastAsia="Calibri" w:hAnsi="Calibri"/>
          <w:color w:val="333333"/>
          <w:sz w:val="22"/>
          <w:szCs w:val="22"/>
        </w:rPr>
        <w:t xml:space="preserve">It combines the clinical work of a CRNA with the flexibility and mobility of contract practice. It is a temporary anesthesia staffing role within the healthcare and staffing markets.</w:t>
      </w:r>
    </w:p>
    <w:p>
      <w:pPr>
        <w:pStyle w:val="Heading1"/>
        <w:spacing w:after="140" w:before="320"/>
      </w:pPr>
      <w:r>
        <w:rPr>
          <w:rFonts w:ascii="Montserrat" w:cs="Montserrat" w:eastAsia="Montserrat" w:hAnsi="Montserrat"/>
          <w:b/>
          <w:bCs/>
          <w:color w:val="2E4D7B"/>
          <w:sz w:val="26"/>
          <w:szCs w:val="26"/>
        </w:rPr>
        <w:t xml:space="preserve">Key Responsibilities</w:t>
      </w:r>
    </w:p>
    <w:p>
      <w:pPr>
        <w:spacing w:after="140" w:line="300"/>
      </w:pPr>
      <w:r>
        <w:rPr>
          <w:rFonts w:ascii="Calibri" w:cs="Calibri" w:eastAsia="Calibri" w:hAnsi="Calibri"/>
          <w:b/>
          <w:bCs/>
          <w:color w:val="2E4D7B"/>
          <w:sz w:val="22"/>
          <w:szCs w:val="22"/>
        </w:rPr>
        <w:t xml:space="preserve">Clinical Coverage</w:t>
      </w:r>
    </w:p>
    <w:p>
      <w:pPr>
        <w:pStyle w:val="ListParagraph"/>
        <w:numPr>
          <w:ilvl w:val="0"/>
          <w:numId w:val="2"/>
        </w:numPr>
        <w:spacing w:after="90" w:line="300"/>
      </w:pPr>
      <w:r>
        <w:rPr>
          <w:rFonts w:ascii="Calibri" w:cs="Calibri" w:eastAsia="Calibri" w:hAnsi="Calibri"/>
          <w:color w:val="333333"/>
          <w:sz w:val="22"/>
          <w:szCs w:val="22"/>
        </w:rPr>
        <w:t xml:space="preserve">Provide pre-anesthesia assessment, anesthesia administration, intraoperative monitoring, and recovery management for assigned cases.</w:t>
      </w:r>
    </w:p>
    <w:p>
      <w:pPr>
        <w:pStyle w:val="ListParagraph"/>
        <w:numPr>
          <w:ilvl w:val="0"/>
          <w:numId w:val="2"/>
        </w:numPr>
        <w:spacing w:after="90" w:line="300"/>
      </w:pPr>
      <w:r>
        <w:rPr>
          <w:rFonts w:ascii="Calibri" w:cs="Calibri" w:eastAsia="Calibri" w:hAnsi="Calibri"/>
          <w:color w:val="333333"/>
          <w:sz w:val="22"/>
          <w:szCs w:val="22"/>
        </w:rPr>
        <w:t xml:space="preserve">Deliver general, regional, local, and monitored anesthesia care across surgical, obstetric, and procedural settings.</w:t>
      </w:r>
    </w:p>
    <w:p>
      <w:pPr>
        <w:pStyle w:val="ListParagraph"/>
        <w:numPr>
          <w:ilvl w:val="0"/>
          <w:numId w:val="2"/>
        </w:numPr>
        <w:spacing w:after="90" w:line="300"/>
      </w:pPr>
      <w:r>
        <w:rPr>
          <w:rFonts w:ascii="Calibri" w:cs="Calibri" w:eastAsia="Calibri" w:hAnsi="Calibri"/>
          <w:color w:val="333333"/>
          <w:sz w:val="22"/>
          <w:szCs w:val="22"/>
        </w:rPr>
        <w:t xml:space="preserve">Respond to anesthesia complications and emergencies, providing advanced resuscitation within scope of practice.</w:t>
      </w:r>
    </w:p>
    <w:p>
      <w:pPr>
        <w:spacing w:after="140" w:line="300"/>
      </w:pPr>
      <w:r>
        <w:rPr>
          <w:rFonts w:ascii="Calibri" w:cs="Calibri" w:eastAsia="Calibri" w:hAnsi="Calibri"/>
          <w:b/>
          <w:bCs/>
          <w:color w:val="2E4D7B"/>
          <w:sz w:val="22"/>
          <w:szCs w:val="22"/>
        </w:rPr>
        <w:t xml:space="preserve">Adaptation &amp; Onboarding</w:t>
      </w:r>
    </w:p>
    <w:p>
      <w:pPr>
        <w:pStyle w:val="ListParagraph"/>
        <w:numPr>
          <w:ilvl w:val="0"/>
          <w:numId w:val="2"/>
        </w:numPr>
        <w:spacing w:after="90" w:line="300"/>
      </w:pPr>
      <w:r>
        <w:rPr>
          <w:rFonts w:ascii="Calibri" w:cs="Calibri" w:eastAsia="Calibri" w:hAnsi="Calibri"/>
          <w:color w:val="333333"/>
          <w:sz w:val="22"/>
          <w:szCs w:val="22"/>
        </w:rPr>
        <w:t xml:space="preserve">Learn and follow each facility's anesthesia protocols, equipment, electronic records, and safety procedures quickly.</w:t>
      </w:r>
    </w:p>
    <w:p>
      <w:pPr>
        <w:pStyle w:val="ListParagraph"/>
        <w:numPr>
          <w:ilvl w:val="0"/>
          <w:numId w:val="2"/>
        </w:numPr>
        <w:spacing w:after="90" w:line="300"/>
      </w:pPr>
      <w:r>
        <w:rPr>
          <w:rFonts w:ascii="Calibri" w:cs="Calibri" w:eastAsia="Calibri" w:hAnsi="Calibri"/>
          <w:color w:val="333333"/>
          <w:sz w:val="22"/>
          <w:szCs w:val="22"/>
        </w:rPr>
        <w:t xml:space="preserve">Integrate smoothly into new anesthesia care teams and surgical staff at each assignment.</w:t>
      </w:r>
    </w:p>
    <w:p>
      <w:pPr>
        <w:pStyle w:val="ListParagraph"/>
        <w:numPr>
          <w:ilvl w:val="0"/>
          <w:numId w:val="2"/>
        </w:numPr>
        <w:spacing w:after="90" w:line="300"/>
      </w:pPr>
      <w:r>
        <w:rPr>
          <w:rFonts w:ascii="Calibri" w:cs="Calibri" w:eastAsia="Calibri" w:hAnsi="Calibri"/>
          <w:color w:val="333333"/>
          <w:sz w:val="22"/>
          <w:szCs w:val="22"/>
        </w:rPr>
        <w:t xml:space="preserve">Complete facility orientation and onboarding efficiently to begin coverage on schedule.</w:t>
      </w:r>
    </w:p>
    <w:p>
      <w:pPr>
        <w:spacing w:after="140" w:line="300"/>
      </w:pPr>
      <w:r>
        <w:rPr>
          <w:rFonts w:ascii="Calibri" w:cs="Calibri" w:eastAsia="Calibri" w:hAnsi="Calibri"/>
          <w:b/>
          <w:bCs/>
          <w:color w:val="2E4D7B"/>
          <w:sz w:val="22"/>
          <w:szCs w:val="22"/>
        </w:rPr>
        <w:t xml:space="preserve">Credentialing &amp; Compliance</w:t>
      </w:r>
    </w:p>
    <w:p>
      <w:pPr>
        <w:pStyle w:val="ListParagraph"/>
        <w:numPr>
          <w:ilvl w:val="0"/>
          <w:numId w:val="2"/>
        </w:numPr>
        <w:spacing w:after="90" w:line="300"/>
      </w:pPr>
      <w:r>
        <w:rPr>
          <w:rFonts w:ascii="Calibri" w:cs="Calibri" w:eastAsia="Calibri" w:hAnsi="Calibri"/>
          <w:color w:val="333333"/>
          <w:sz w:val="22"/>
          <w:szCs w:val="22"/>
        </w:rPr>
        <w:t xml:space="preserve">Maintain active licensure, NBCRNA certification, and an organized, current credentialing file.</w:t>
      </w:r>
    </w:p>
    <w:p>
      <w:pPr>
        <w:pStyle w:val="ListParagraph"/>
        <w:numPr>
          <w:ilvl w:val="0"/>
          <w:numId w:val="2"/>
        </w:numPr>
        <w:spacing w:after="90" w:line="300"/>
      </w:pPr>
      <w:r>
        <w:rPr>
          <w:rFonts w:ascii="Calibri" w:cs="Calibri" w:eastAsia="Calibri" w:hAnsi="Calibri"/>
          <w:color w:val="333333"/>
          <w:sz w:val="22"/>
          <w:szCs w:val="22"/>
        </w:rPr>
        <w:t xml:space="preserve">Complete facility credentialing and privileging and any required state licensure for each assignment.</w:t>
      </w:r>
    </w:p>
    <w:p>
      <w:pPr>
        <w:pStyle w:val="ListParagraph"/>
        <w:numPr>
          <w:ilvl w:val="0"/>
          <w:numId w:val="2"/>
        </w:numPr>
        <w:spacing w:after="90" w:line="300"/>
      </w:pPr>
      <w:r>
        <w:rPr>
          <w:rFonts w:ascii="Calibri" w:cs="Calibri" w:eastAsia="Calibri" w:hAnsi="Calibri"/>
          <w:color w:val="333333"/>
          <w:sz w:val="22"/>
          <w:szCs w:val="22"/>
        </w:rPr>
        <w:t xml:space="preserve">Document anesthesia care accurately and adhere to patient safety, infection control, and quality standards.</w:t>
      </w:r>
    </w:p>
    <w:p>
      <w:pPr>
        <w:pStyle w:val="Heading1"/>
        <w:spacing w:after="140" w:before="320"/>
      </w:pPr>
      <w:r>
        <w:rPr>
          <w:rFonts w:ascii="Montserrat" w:cs="Montserrat" w:eastAsia="Montserrat" w:hAnsi="Montserrat"/>
          <w:b/>
          <w:bCs/>
          <w:color w:val="2E4D7B"/>
          <w:sz w:val="26"/>
          <w:szCs w:val="26"/>
        </w:rPr>
        <w:t xml:space="preserve">Qualifications</w:t>
      </w:r>
    </w:p>
    <w:p>
      <w:pPr>
        <w:spacing w:after="140" w:line="300"/>
      </w:pPr>
      <w:r>
        <w:rPr>
          <w:rFonts w:ascii="Calibri" w:cs="Calibri" w:eastAsia="Calibri" w:hAnsi="Calibri"/>
          <w:b/>
          <w:bCs/>
          <w:color w:val="2E4D7B"/>
          <w:sz w:val="22"/>
          <w:szCs w:val="22"/>
        </w:rPr>
        <w:t xml:space="preserve">Education &amp; Licensure</w:t>
      </w:r>
    </w:p>
    <w:p>
      <w:pPr>
        <w:pStyle w:val="ListParagraph"/>
        <w:numPr>
          <w:ilvl w:val="0"/>
          <w:numId w:val="2"/>
        </w:numPr>
        <w:spacing w:after="90" w:line="300"/>
      </w:pPr>
      <w:r>
        <w:rPr>
          <w:rFonts w:ascii="Calibri" w:cs="Calibri" w:eastAsia="Calibri" w:hAnsi="Calibri"/>
          <w:color w:val="333333"/>
          <w:sz w:val="22"/>
          <w:szCs w:val="22"/>
        </w:rPr>
        <w:t xml:space="preserve">Graduate degree from an accredited nurse anesthesia program.</w:t>
      </w:r>
    </w:p>
    <w:p>
      <w:pPr>
        <w:pStyle w:val="ListParagraph"/>
        <w:numPr>
          <w:ilvl w:val="0"/>
          <w:numId w:val="2"/>
        </w:numPr>
        <w:spacing w:after="90" w:line="300"/>
      </w:pPr>
      <w:r>
        <w:rPr>
          <w:rFonts w:ascii="Calibri" w:cs="Calibri" w:eastAsia="Calibri" w:hAnsi="Calibri"/>
          <w:color w:val="333333"/>
          <w:sz w:val="22"/>
          <w:szCs w:val="22"/>
        </w:rPr>
        <w:t xml:space="preserve">Active registered nurse and advanced practice registered nurse licensure, with multi-state licensure an asset.</w:t>
      </w:r>
    </w:p>
    <w:p>
      <w:pPr>
        <w:pStyle w:val="ListParagraph"/>
        <w:numPr>
          <w:ilvl w:val="0"/>
          <w:numId w:val="2"/>
        </w:numPr>
        <w:spacing w:after="90" w:line="300"/>
      </w:pPr>
      <w:r>
        <w:rPr>
          <w:rFonts w:ascii="Calibri" w:cs="Calibri" w:eastAsia="Calibri" w:hAnsi="Calibri"/>
          <w:color w:val="333333"/>
          <w:sz w:val="22"/>
          <w:szCs w:val="22"/>
        </w:rPr>
        <w:t xml:space="preserve">Current NBCRNA certification, maintained through recertification.</w:t>
      </w:r>
    </w:p>
    <w:p>
      <w:pPr>
        <w:spacing w:after="140" w:line="300"/>
      </w:pPr>
      <w:r>
        <w:rPr>
          <w:rFonts w:ascii="Calibri" w:cs="Calibri" w:eastAsia="Calibri" w:hAnsi="Calibri"/>
          <w:b/>
          <w:bCs/>
          <w:color w:val="2E4D7B"/>
          <w:sz w:val="22"/>
          <w:szCs w:val="22"/>
        </w:rPr>
        <w:t xml:space="preserve">Experience &amp; Attributes</w:t>
      </w:r>
    </w:p>
    <w:p>
      <w:pPr>
        <w:pStyle w:val="ListParagraph"/>
        <w:numPr>
          <w:ilvl w:val="0"/>
          <w:numId w:val="2"/>
        </w:numPr>
        <w:spacing w:after="90" w:line="300"/>
      </w:pPr>
      <w:r>
        <w:rPr>
          <w:rFonts w:ascii="Calibri" w:cs="Calibri" w:eastAsia="Calibri" w:hAnsi="Calibri"/>
          <w:color w:val="333333"/>
          <w:sz w:val="22"/>
          <w:szCs w:val="22"/>
        </w:rPr>
        <w:t xml:space="preserve">Anesthesia practice experience with the versatility to work across varied case mixes and facility types.</w:t>
      </w:r>
    </w:p>
    <w:p>
      <w:pPr>
        <w:pStyle w:val="ListParagraph"/>
        <w:numPr>
          <w:ilvl w:val="0"/>
          <w:numId w:val="2"/>
        </w:numPr>
        <w:spacing w:after="90" w:line="300"/>
      </w:pPr>
      <w:r>
        <w:rPr>
          <w:rFonts w:ascii="Calibri" w:cs="Calibri" w:eastAsia="Calibri" w:hAnsi="Calibri"/>
          <w:color w:val="333333"/>
          <w:sz w:val="22"/>
          <w:szCs w:val="22"/>
        </w:rPr>
        <w:t xml:space="preserve">Strong adaptability, communication, and self-direction, with the ability to perform from day one in a new environment.</w:t>
      </w:r>
    </w:p>
    <w:p>
      <w:pPr>
        <w:pStyle w:val="ListParagraph"/>
        <w:numPr>
          <w:ilvl w:val="0"/>
          <w:numId w:val="2"/>
        </w:numPr>
        <w:spacing w:after="90" w:line="300"/>
      </w:pPr>
      <w:r>
        <w:rPr>
          <w:rFonts w:ascii="Calibri" w:cs="Calibri" w:eastAsia="Calibri" w:hAnsi="Calibri"/>
          <w:color w:val="333333"/>
          <w:sz w:val="22"/>
          <w:szCs w:val="22"/>
        </w:rPr>
        <w:t xml:space="preserve">Flexibility to travel and maintain organized credentials across multiple assignments.</w:t>
      </w:r>
    </w:p>
    <w:p>
      <w:pPr>
        <w:pStyle w:val="Heading1"/>
        <w:spacing w:after="140" w:before="320"/>
      </w:pPr>
      <w:r>
        <w:rPr>
          <w:rFonts w:ascii="Montserrat" w:cs="Montserrat" w:eastAsia="Montserrat" w:hAnsi="Montserrat"/>
          <w:b/>
          <w:bCs/>
          <w:color w:val="2E4D7B"/>
          <w:sz w:val="26"/>
          <w:szCs w:val="26"/>
        </w:rPr>
        <w:t xml:space="preserve">Compensation and Benefits</w:t>
      </w:r>
    </w:p>
    <w:p>
      <w:pPr>
        <w:spacing w:after="140" w:line="300"/>
      </w:pPr>
      <w:r>
        <w:rPr>
          <w:rFonts w:ascii="Calibri" w:cs="Calibri" w:eastAsia="Calibri" w:hAnsi="Calibri"/>
          <w:color w:val="333333"/>
          <w:sz w:val="22"/>
          <w:szCs w:val="22"/>
        </w:rPr>
        <w:t xml:space="preserve">[Describe salary range, bonus or incentive structure, health and retirement benefits, paid time off, and any relocation assistance.]</w:t>
      </w:r>
    </w:p>
    <w:p>
      <w:pPr>
        <w:pStyle w:val="Heading1"/>
        <w:spacing w:after="140" w:before="320"/>
      </w:pPr>
      <w:r>
        <w:rPr>
          <w:rFonts w:ascii="Montserrat" w:cs="Montserrat" w:eastAsia="Montserrat" w:hAnsi="Montserrat"/>
          <w:b/>
          <w:bCs/>
          <w:color w:val="2E4D7B"/>
          <w:sz w:val="26"/>
          <w:szCs w:val="26"/>
        </w:rPr>
        <w:t xml:space="preserve">How to Apply</w:t>
      </w:r>
    </w:p>
    <w:p>
      <w:pPr>
        <w:spacing w:after="140" w:line="300"/>
      </w:pPr>
      <w:r>
        <w:rPr>
          <w:rFonts w:ascii="Calibri" w:cs="Calibri" w:eastAsia="Calibri" w:hAnsi="Calibri"/>
          <w:color w:val="333333"/>
          <w:sz w:val="22"/>
          <w:szCs w:val="22"/>
        </w:rPr>
        <w:t xml:space="preserve">[Provide application instructions, a contact email, or a link to your applicant portal.]</w:t>
      </w:r>
    </w:p>
    <w:p>
      <w:pPr>
        <w:pStyle w:val="Heading1"/>
        <w:spacing w:after="140" w:before="320"/>
      </w:pPr>
      <w:r>
        <w:rPr>
          <w:rFonts w:ascii="Montserrat" w:cs="Montserrat" w:eastAsia="Montserrat" w:hAnsi="Montserrat"/>
          <w:b/>
          <w:bCs/>
          <w:color w:val="2E4D7B"/>
          <w:sz w:val="26"/>
          <w:szCs w:val="26"/>
        </w:rPr>
        <w:t xml:space="preserve">Equal Employment Opportunity</w:t>
      </w:r>
    </w:p>
    <w:p>
      <w:pPr>
        <w:spacing w:after="140" w:line="300"/>
      </w:pPr>
      <w:r>
        <w:rPr>
          <w:rFonts w:ascii="Calibri" w:cs="Calibri" w:eastAsia="Calibri" w:hAnsi="Calibri"/>
          <w:color w:val="333333"/>
          <w:sz w:val="22"/>
          <w:szCs w:val="22"/>
        </w:rPr>
        <w:t xml:space="preserve">[Institution Name] is an equal opportunity employer. All qualified applicants will receive consideration for employment without regard to race, color, religion, sex, sexual orientation, gender identity, national origin, disability, or protected veteran status.</w:t>
      </w:r>
    </w:p>
    <w:p>
      <w:pPr>
        <w:pBdr>
          <w:top w:val="single" w:color="CCCCCC" w:sz="4" w:space="8"/>
        </w:pBdr>
        <w:spacing w:before="360"/>
      </w:pPr>
      <w:r>
        <w:rPr>
          <w:rFonts w:ascii="Calibri" w:cs="Calibri" w:eastAsia="Calibri" w:hAnsi="Calibri"/>
          <w:i/>
          <w:iCs/>
          <w:color w:val="666666"/>
          <w:sz w:val="18"/>
          <w:szCs w:val="18"/>
        </w:rPr>
        <w:t xml:space="preserve">Template by Excelon Associates. Hiring a Locum Tenens CRNA? Our recruiters place leaders nationwide: excelonassociates.com</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2026-08-05T10:37:30.901Z</dcterms:created>
  <dcterms:modified xsi:type="dcterms:W3CDTF">2026-08-05T10:37:30.914Z</dcterms:modified>
</cp:coreProperties>
</file>

<file path=docProps/custom.xml><?xml version="1.0" encoding="utf-8"?>
<Properties xmlns="http://schemas.openxmlformats.org/officeDocument/2006/custom-properties" xmlns:vt="http://schemas.openxmlformats.org/officeDocument/2006/docPropsVTypes"/>
</file>