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International Director of Admissions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role leads and executes a prestigious UK institution's international student recruitment strategy, making sure the institution enrolls a diverse and qualified global student body. It oversees international recruitment initiatives, partnerships, and engagement efforts while keeping admissions processes compliant with relevant immigration policies and regulatory frameworks.</w:t>
      </w:r>
    </w:p>
    <w:p>
      <w:pPr>
        <w:spacing w:after="140" w:line="300"/>
      </w:pPr>
      <w:r>
        <w:rPr>
          <w:rFonts w:ascii="Calibri" w:cs="Calibri" w:eastAsia="Calibri" w:hAnsi="Calibri"/>
          <w:color w:val="333333"/>
          <w:sz w:val="22"/>
          <w:szCs w:val="22"/>
        </w:rPr>
        <w:t xml:space="preserve">The position calls for a dynamic leader with strong strategic planning abilities, data-driven decision-making skills, and a deep understanding of global higher education markets and student mobility trends. International education best practices are shaped in part by professional bodies such as NAFSA, the Association of International Educators.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Strategy &amp; Enrollment Planning</w:t>
      </w:r>
    </w:p>
    <w:p>
      <w:pPr>
        <w:pStyle w:val="ListParagraph"/>
        <w:numPr>
          <w:ilvl w:val="0"/>
          <w:numId w:val="2"/>
        </w:numPr>
        <w:spacing w:after="90" w:line="300"/>
      </w:pPr>
      <w:r>
        <w:rPr>
          <w:rFonts w:ascii="Calibri" w:cs="Calibri" w:eastAsia="Calibri" w:hAnsi="Calibri"/>
          <w:color w:val="333333"/>
          <w:sz w:val="22"/>
          <w:szCs w:val="22"/>
        </w:rPr>
        <w:t xml:space="preserve">Develop and implement a comprehensive international admissions strategy aligned with institutional goals, focused on recruitment growth, student retention, and diversity targets.</w:t>
      </w:r>
    </w:p>
    <w:p>
      <w:pPr>
        <w:pStyle w:val="ListParagraph"/>
        <w:numPr>
          <w:ilvl w:val="0"/>
          <w:numId w:val="2"/>
        </w:numPr>
        <w:spacing w:after="90" w:line="300"/>
      </w:pPr>
      <w:r>
        <w:rPr>
          <w:rFonts w:ascii="Calibri" w:cs="Calibri" w:eastAsia="Calibri" w:hAnsi="Calibri"/>
          <w:color w:val="333333"/>
          <w:sz w:val="22"/>
          <w:szCs w:val="22"/>
        </w:rPr>
        <w:t xml:space="preserve">Set annual enrollment targets by market and region, aligning admissions strategy with broader academic and financial planning.</w:t>
      </w:r>
    </w:p>
    <w:p>
      <w:pPr>
        <w:pStyle w:val="ListParagraph"/>
        <w:numPr>
          <w:ilvl w:val="0"/>
          <w:numId w:val="2"/>
        </w:numPr>
        <w:spacing w:after="90" w:line="300"/>
      </w:pPr>
      <w:r>
        <w:rPr>
          <w:rFonts w:ascii="Calibri" w:cs="Calibri" w:eastAsia="Calibri" w:hAnsi="Calibri"/>
          <w:color w:val="333333"/>
          <w:sz w:val="22"/>
          <w:szCs w:val="22"/>
        </w:rPr>
        <w:t xml:space="preserve">Analyze enrollment trends, yield data, and market intelligence to refine strategies and optimize conversion across source markets, producing regular reports and forecasts for senior leadership.</w:t>
      </w:r>
    </w:p>
    <w:p>
      <w:pPr>
        <w:spacing w:after="140" w:line="300"/>
      </w:pPr>
      <w:r>
        <w:rPr>
          <w:rFonts w:ascii="Calibri" w:cs="Calibri" w:eastAsia="Calibri" w:hAnsi="Calibri"/>
          <w:b/>
          <w:bCs/>
          <w:color w:val="2E4D7B"/>
          <w:sz w:val="22"/>
          <w:szCs w:val="22"/>
        </w:rPr>
        <w:t xml:space="preserve">Global Recruitment &amp; Partnerships</w:t>
      </w:r>
    </w:p>
    <w:p>
      <w:pPr>
        <w:pStyle w:val="ListParagraph"/>
        <w:numPr>
          <w:ilvl w:val="0"/>
          <w:numId w:val="2"/>
        </w:numPr>
        <w:spacing w:after="90" w:line="300"/>
      </w:pPr>
      <w:r>
        <w:rPr>
          <w:rFonts w:ascii="Calibri" w:cs="Calibri" w:eastAsia="Calibri" w:hAnsi="Calibri"/>
          <w:color w:val="333333"/>
          <w:sz w:val="22"/>
          <w:szCs w:val="22"/>
        </w:rPr>
        <w:t xml:space="preserve">Establish and maintain relationships with international secondary schools, education agencies, governmental organizations, and community partners to drive qualified applications.</w:t>
      </w:r>
    </w:p>
    <w:p>
      <w:pPr>
        <w:pStyle w:val="ListParagraph"/>
        <w:numPr>
          <w:ilvl w:val="0"/>
          <w:numId w:val="2"/>
        </w:numPr>
        <w:spacing w:after="90" w:line="300"/>
      </w:pPr>
      <w:r>
        <w:rPr>
          <w:rFonts w:ascii="Calibri" w:cs="Calibri" w:eastAsia="Calibri" w:hAnsi="Calibri"/>
          <w:color w:val="333333"/>
          <w:sz w:val="22"/>
          <w:szCs w:val="22"/>
        </w:rPr>
        <w:t xml:space="preserve">Lead international recruitment travel and represent the institution at higher education fairs, agent events, and embassy and government forums in priority markets.</w:t>
      </w:r>
    </w:p>
    <w:p>
      <w:pPr>
        <w:pStyle w:val="ListParagraph"/>
        <w:numPr>
          <w:ilvl w:val="0"/>
          <w:numId w:val="2"/>
        </w:numPr>
        <w:spacing w:after="90" w:line="300"/>
      </w:pPr>
      <w:r>
        <w:rPr>
          <w:rFonts w:ascii="Calibri" w:cs="Calibri" w:eastAsia="Calibri" w:hAnsi="Calibri"/>
          <w:color w:val="333333"/>
          <w:sz w:val="22"/>
          <w:szCs w:val="22"/>
        </w:rPr>
        <w:t xml:space="preserve">Build strategic alliances with foreign institutions, scholarship providers, recruitment agencies, and pathway program providers, and negotiate and manage agent and partner agreements against agreed targets.</w:t>
      </w:r>
    </w:p>
    <w:p>
      <w:pPr>
        <w:spacing w:after="140" w:line="300"/>
      </w:pPr>
      <w:r>
        <w:rPr>
          <w:rFonts w:ascii="Calibri" w:cs="Calibri" w:eastAsia="Calibri" w:hAnsi="Calibri"/>
          <w:b/>
          <w:bCs/>
          <w:color w:val="2E4D7B"/>
          <w:sz w:val="22"/>
          <w:szCs w:val="22"/>
        </w:rPr>
        <w:t xml:space="preserve">Applications &amp; Compliance</w:t>
      </w:r>
    </w:p>
    <w:p>
      <w:pPr>
        <w:pStyle w:val="ListParagraph"/>
        <w:numPr>
          <w:ilvl w:val="0"/>
          <w:numId w:val="2"/>
        </w:numPr>
        <w:spacing w:after="90" w:line="300"/>
      </w:pPr>
      <w:r>
        <w:rPr>
          <w:rFonts w:ascii="Calibri" w:cs="Calibri" w:eastAsia="Calibri" w:hAnsi="Calibri"/>
          <w:color w:val="333333"/>
          <w:sz w:val="22"/>
          <w:szCs w:val="22"/>
        </w:rPr>
        <w:t xml:space="preserve">Oversee the evaluation and processing of international applications, ensuring adherence to admissions standards and applicable immigration policies, and monitor conversion from inquiry through enrollment.</w:t>
      </w:r>
    </w:p>
    <w:p>
      <w:pPr>
        <w:pStyle w:val="ListParagraph"/>
        <w:numPr>
          <w:ilvl w:val="0"/>
          <w:numId w:val="2"/>
        </w:numPr>
        <w:spacing w:after="90" w:line="300"/>
      </w:pPr>
      <w:r>
        <w:rPr>
          <w:rFonts w:ascii="Calibri" w:cs="Calibri" w:eastAsia="Calibri" w:hAnsi="Calibri"/>
          <w:color w:val="333333"/>
          <w:sz w:val="22"/>
          <w:szCs w:val="22"/>
        </w:rPr>
        <w:t xml:space="preserve">Coordinate pre-arrival support for admitted students including visa guidance, conditional offer management, and deposit confirmation.</w:t>
      </w:r>
    </w:p>
    <w:p>
      <w:pPr>
        <w:pStyle w:val="ListParagraph"/>
        <w:numPr>
          <w:ilvl w:val="0"/>
          <w:numId w:val="2"/>
        </w:numPr>
        <w:spacing w:after="90" w:line="300"/>
      </w:pPr>
      <w:r>
        <w:rPr>
          <w:rFonts w:ascii="Calibri" w:cs="Calibri" w:eastAsia="Calibri" w:hAnsi="Calibri"/>
          <w:color w:val="333333"/>
          <w:sz w:val="22"/>
          <w:szCs w:val="22"/>
        </w:rPr>
        <w:t xml:space="preserve">Ensure admissions processes comply with UK Home Office and UKVI requirements and institutional sponsor duties, working with compliance and student services teams to maintain sponsor status and accurate records.</w:t>
      </w:r>
    </w:p>
    <w:p>
      <w:pPr>
        <w:spacing w:after="140" w:line="300"/>
      </w:pPr>
      <w:r>
        <w:rPr>
          <w:rFonts w:ascii="Calibri" w:cs="Calibri" w:eastAsia="Calibri" w:hAnsi="Calibri"/>
          <w:b/>
          <w:bCs/>
          <w:color w:val="2E4D7B"/>
          <w:sz w:val="22"/>
          <w:szCs w:val="22"/>
        </w:rPr>
        <w:t xml:space="preserve">Team &amp; Brand</w:t>
      </w:r>
    </w:p>
    <w:p>
      <w:pPr>
        <w:pStyle w:val="ListParagraph"/>
        <w:numPr>
          <w:ilvl w:val="0"/>
          <w:numId w:val="2"/>
        </w:numPr>
        <w:spacing w:after="90" w:line="300"/>
      </w:pPr>
      <w:r>
        <w:rPr>
          <w:rFonts w:ascii="Calibri" w:cs="Calibri" w:eastAsia="Calibri" w:hAnsi="Calibri"/>
          <w:color w:val="333333"/>
          <w:sz w:val="22"/>
          <w:szCs w:val="22"/>
        </w:rPr>
        <w:t xml:space="preserve">Manage, mentor, and develop a team of international admissions professionals, providing direction, performance oversight, and professional development.</w:t>
      </w:r>
    </w:p>
    <w:p>
      <w:pPr>
        <w:pStyle w:val="ListParagraph"/>
        <w:numPr>
          <w:ilvl w:val="0"/>
          <w:numId w:val="2"/>
        </w:numPr>
        <w:spacing w:after="90" w:line="300"/>
      </w:pPr>
      <w:r>
        <w:rPr>
          <w:rFonts w:ascii="Calibri" w:cs="Calibri" w:eastAsia="Calibri" w:hAnsi="Calibri"/>
          <w:color w:val="333333"/>
          <w:sz w:val="22"/>
          <w:szCs w:val="22"/>
        </w:rPr>
        <w:t xml:space="preserve">Collaborate with marketing and communications teams on culturally relevant campaigns and contribute to the institution's international brand positioning across digital and student search platforms.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w:t>
      </w:r>
    </w:p>
    <w:p>
      <w:pPr>
        <w:pStyle w:val="ListParagraph"/>
        <w:numPr>
          <w:ilvl w:val="0"/>
          <w:numId w:val="2"/>
        </w:numPr>
        <w:spacing w:after="90" w:line="300"/>
      </w:pPr>
      <w:r>
        <w:rPr>
          <w:rFonts w:ascii="Calibri" w:cs="Calibri" w:eastAsia="Calibri" w:hAnsi="Calibri"/>
          <w:color w:val="333333"/>
          <w:sz w:val="22"/>
          <w:szCs w:val="22"/>
        </w:rPr>
        <w:t xml:space="preserve">Master's degree in Higher Education Administration, International Relations, Business, or a closely related field preferred. A bachelor's degree with substantial equivalent professional experience will be considered.</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Minimum of five to seven years of progressive leadership experience in international admissions, student recruitment, or enrollment management within higher education, with demonstrated success building and managing international student pipelines at scale.</w:t>
      </w:r>
    </w:p>
    <w:p>
      <w:pPr>
        <w:spacing w:after="140" w:line="300"/>
      </w:pPr>
      <w:r>
        <w:rPr>
          <w:rFonts w:ascii="Calibri" w:cs="Calibri" w:eastAsia="Calibri" w:hAnsi="Calibri"/>
          <w:b/>
          <w:bCs/>
          <w:color w:val="2E4D7B"/>
          <w:sz w:val="22"/>
          <w:szCs w:val="22"/>
        </w:rPr>
        <w:t xml:space="preserve">Compliance &amp; Regulatory Knowledge</w:t>
      </w:r>
    </w:p>
    <w:p>
      <w:pPr>
        <w:pStyle w:val="ListParagraph"/>
        <w:numPr>
          <w:ilvl w:val="0"/>
          <w:numId w:val="2"/>
        </w:numPr>
        <w:spacing w:after="90" w:line="300"/>
      </w:pPr>
      <w:r>
        <w:rPr>
          <w:rFonts w:ascii="Calibri" w:cs="Calibri" w:eastAsia="Calibri" w:hAnsi="Calibri"/>
          <w:color w:val="333333"/>
          <w:sz w:val="22"/>
          <w:szCs w:val="22"/>
        </w:rPr>
        <w:t xml:space="preserve">Expertise in UK student visa regulations, UKVI compliance requirements, and institutional sponsor duties.</w:t>
      </w:r>
    </w:p>
    <w:p>
      <w:pPr>
        <w:pStyle w:val="ListParagraph"/>
        <w:numPr>
          <w:ilvl w:val="0"/>
          <w:numId w:val="2"/>
        </w:numPr>
        <w:spacing w:after="90" w:line="300"/>
      </w:pPr>
      <w:r>
        <w:rPr>
          <w:rFonts w:ascii="Calibri" w:cs="Calibri" w:eastAsia="Calibri" w:hAnsi="Calibri"/>
          <w:color w:val="333333"/>
          <w:sz w:val="22"/>
          <w:szCs w:val="22"/>
        </w:rPr>
        <w:t xml:space="preserve">Familiarity with international credential evaluation, country-specific qualification frameworks, and overseas agent management.</w:t>
      </w:r>
    </w:p>
    <w:p>
      <w:pPr>
        <w:spacing w:after="140" w:line="300"/>
      </w:pPr>
      <w:r>
        <w:rPr>
          <w:rFonts w:ascii="Calibri" w:cs="Calibri" w:eastAsia="Calibri" w:hAnsi="Calibri"/>
          <w:b/>
          <w:bCs/>
          <w:color w:val="2E4D7B"/>
          <w:sz w:val="22"/>
          <w:szCs w:val="22"/>
        </w:rPr>
        <w:t xml:space="preserve">Skills &amp; Competencies</w:t>
      </w:r>
    </w:p>
    <w:p>
      <w:pPr>
        <w:pStyle w:val="ListParagraph"/>
        <w:numPr>
          <w:ilvl w:val="0"/>
          <w:numId w:val="2"/>
        </w:numPr>
        <w:spacing w:after="90" w:line="300"/>
      </w:pPr>
      <w:r>
        <w:rPr>
          <w:rFonts w:ascii="Calibri" w:cs="Calibri" w:eastAsia="Calibri" w:hAnsi="Calibri"/>
          <w:color w:val="333333"/>
          <w:sz w:val="22"/>
          <w:szCs w:val="22"/>
        </w:rPr>
        <w:t xml:space="preserve">Strong analytical skills using CRM systems, enrollment data platforms, and market research to inform strategic decisions.</w:t>
      </w:r>
    </w:p>
    <w:p>
      <w:pPr>
        <w:pStyle w:val="ListParagraph"/>
        <w:numPr>
          <w:ilvl w:val="0"/>
          <w:numId w:val="2"/>
        </w:numPr>
        <w:spacing w:after="90" w:line="300"/>
      </w:pPr>
      <w:r>
        <w:rPr>
          <w:rFonts w:ascii="Calibri" w:cs="Calibri" w:eastAsia="Calibri" w:hAnsi="Calibri"/>
          <w:color w:val="333333"/>
          <w:sz w:val="22"/>
          <w:szCs w:val="22"/>
        </w:rPr>
        <w:t xml:space="preserve">Excellent cross-cultural communication and stakeholder relationship management skills, with willingness and ability to travel internationally as required.</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International Director of Admissions?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