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Higher Education Data Scientist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 Higher Education Data Scientist plays a critical role analyzing complex datasets to support an institution's strategic initiatives, enhance student outcomes, and improve institutional effectiveness. The role brings a deep understanding of data analytics, machine learning, and predictive modeling to the higher education context.</w:t>
      </w:r>
    </w:p>
    <w:p>
      <w:pPr>
        <w:spacing w:after="140" w:line="300"/>
      </w:pPr>
      <w:r>
        <w:rPr>
          <w:rFonts w:ascii="Calibri" w:cs="Calibri" w:eastAsia="Calibri" w:hAnsi="Calibri"/>
          <w:color w:val="333333"/>
          <w:sz w:val="22"/>
          <w:szCs w:val="22"/>
        </w:rPr>
        <w:t xml:space="preserve">The position leverages advanced analytics to drive decisions in academic administration, enrollment management, student retention, and institutional research, collecting, processing, and interpreting large educational datasets into actionable insight. It works closely with departments across the institution to address key challenges,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Analytics &amp; Modeling</w:t>
      </w:r>
    </w:p>
    <w:p>
      <w:pPr>
        <w:pStyle w:val="ListParagraph"/>
        <w:numPr>
          <w:ilvl w:val="0"/>
          <w:numId w:val="2"/>
        </w:numPr>
        <w:spacing w:after="90" w:line="300"/>
      </w:pPr>
      <w:r>
        <w:rPr>
          <w:rFonts w:ascii="Calibri" w:cs="Calibri" w:eastAsia="Calibri" w:hAnsi="Calibri"/>
          <w:color w:val="333333"/>
          <w:sz w:val="22"/>
          <w:szCs w:val="22"/>
        </w:rPr>
        <w:t xml:space="preserve">Collect, analyze, and interpret large educational datasets to identify trends and provide actionable insights for enrollment management, student retention, and institutional performance.</w:t>
      </w:r>
    </w:p>
    <w:p>
      <w:pPr>
        <w:pStyle w:val="ListParagraph"/>
        <w:numPr>
          <w:ilvl w:val="0"/>
          <w:numId w:val="2"/>
        </w:numPr>
        <w:spacing w:after="90" w:line="300"/>
      </w:pPr>
      <w:r>
        <w:rPr>
          <w:rFonts w:ascii="Calibri" w:cs="Calibri" w:eastAsia="Calibri" w:hAnsi="Calibri"/>
          <w:color w:val="333333"/>
          <w:sz w:val="22"/>
          <w:szCs w:val="22"/>
        </w:rPr>
        <w:t xml:space="preserve">Develop and deploy machine learning models to predict student outcomes, improve retention rates, and optimize resource allocation.</w:t>
      </w:r>
    </w:p>
    <w:p>
      <w:pPr>
        <w:pStyle w:val="ListParagraph"/>
        <w:numPr>
          <w:ilvl w:val="0"/>
          <w:numId w:val="2"/>
        </w:numPr>
        <w:spacing w:after="90" w:line="300"/>
      </w:pPr>
      <w:r>
        <w:rPr>
          <w:rFonts w:ascii="Calibri" w:cs="Calibri" w:eastAsia="Calibri" w:hAnsi="Calibri"/>
          <w:color w:val="333333"/>
          <w:sz w:val="22"/>
          <w:szCs w:val="22"/>
        </w:rPr>
        <w:t xml:space="preserve">Use predictive analytics to support student success initiatives and enhance academic planning.</w:t>
      </w:r>
    </w:p>
    <w:p>
      <w:pPr>
        <w:spacing w:after="140" w:line="300"/>
      </w:pPr>
      <w:r>
        <w:rPr>
          <w:rFonts w:ascii="Calibri" w:cs="Calibri" w:eastAsia="Calibri" w:hAnsi="Calibri"/>
          <w:b/>
          <w:bCs/>
          <w:color w:val="2E4D7B"/>
          <w:sz w:val="22"/>
          <w:szCs w:val="22"/>
        </w:rPr>
        <w:t xml:space="preserve">Reporting &amp; Collaboration</w:t>
      </w:r>
    </w:p>
    <w:p>
      <w:pPr>
        <w:pStyle w:val="ListParagraph"/>
        <w:numPr>
          <w:ilvl w:val="0"/>
          <w:numId w:val="2"/>
        </w:numPr>
        <w:spacing w:after="90" w:line="300"/>
      </w:pPr>
      <w:r>
        <w:rPr>
          <w:rFonts w:ascii="Calibri" w:cs="Calibri" w:eastAsia="Calibri" w:hAnsi="Calibri"/>
          <w:color w:val="333333"/>
          <w:sz w:val="22"/>
          <w:szCs w:val="22"/>
        </w:rPr>
        <w:t xml:space="preserve">Create comprehensive data reports, dashboards, and visualizations to communicate findings to stakeholders clearly and actionably.</w:t>
      </w:r>
    </w:p>
    <w:p>
      <w:pPr>
        <w:pStyle w:val="ListParagraph"/>
        <w:numPr>
          <w:ilvl w:val="0"/>
          <w:numId w:val="2"/>
        </w:numPr>
        <w:spacing w:after="90" w:line="300"/>
      </w:pPr>
      <w:r>
        <w:rPr>
          <w:rFonts w:ascii="Calibri" w:cs="Calibri" w:eastAsia="Calibri" w:hAnsi="Calibri"/>
          <w:color w:val="333333"/>
          <w:sz w:val="22"/>
          <w:szCs w:val="22"/>
        </w:rPr>
        <w:t xml:space="preserve">Collaborate with academic and administrative departments to understand their data needs and provide tailored analytic solutions.</w:t>
      </w:r>
    </w:p>
    <w:p>
      <w:pPr>
        <w:spacing w:after="140" w:line="300"/>
      </w:pPr>
      <w:r>
        <w:rPr>
          <w:rFonts w:ascii="Calibri" w:cs="Calibri" w:eastAsia="Calibri" w:hAnsi="Calibri"/>
          <w:b/>
          <w:bCs/>
          <w:color w:val="2E4D7B"/>
          <w:sz w:val="22"/>
          <w:szCs w:val="22"/>
        </w:rPr>
        <w:t xml:space="preserve">Governance &amp; Innovation</w:t>
      </w:r>
    </w:p>
    <w:p>
      <w:pPr>
        <w:pStyle w:val="ListParagraph"/>
        <w:numPr>
          <w:ilvl w:val="0"/>
          <w:numId w:val="2"/>
        </w:numPr>
        <w:spacing w:after="90" w:line="300"/>
      </w:pPr>
      <w:r>
        <w:rPr>
          <w:rFonts w:ascii="Calibri" w:cs="Calibri" w:eastAsia="Calibri" w:hAnsi="Calibri"/>
          <w:color w:val="333333"/>
          <w:sz w:val="22"/>
          <w:szCs w:val="22"/>
        </w:rPr>
        <w:t xml:space="preserve">Implement data governance policies and ensure compliance with privacy regulations such as FERPA.</w:t>
      </w:r>
    </w:p>
    <w:p>
      <w:pPr>
        <w:pStyle w:val="ListParagraph"/>
        <w:numPr>
          <w:ilvl w:val="0"/>
          <w:numId w:val="2"/>
        </w:numPr>
        <w:spacing w:after="90" w:line="300"/>
      </w:pPr>
      <w:r>
        <w:rPr>
          <w:rFonts w:ascii="Calibri" w:cs="Calibri" w:eastAsia="Calibri" w:hAnsi="Calibri"/>
          <w:color w:val="333333"/>
          <w:sz w:val="22"/>
          <w:szCs w:val="22"/>
        </w:rPr>
        <w:t xml:space="preserve">Stay current with the latest trends and technologies in higher education data science and apply innovative approaches to complex educational challenges.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Master's degree or PhD in data science, statistics, computer science, or a related field.</w:t>
      </w:r>
    </w:p>
    <w:p>
      <w:pPr>
        <w:pStyle w:val="ListParagraph"/>
        <w:numPr>
          <w:ilvl w:val="0"/>
          <w:numId w:val="2"/>
        </w:numPr>
        <w:spacing w:after="90" w:line="300"/>
      </w:pPr>
      <w:r>
        <w:rPr>
          <w:rFonts w:ascii="Calibri" w:cs="Calibri" w:eastAsia="Calibri" w:hAnsi="Calibri"/>
          <w:color w:val="333333"/>
          <w:sz w:val="22"/>
          <w:szCs w:val="22"/>
        </w:rPr>
        <w:t xml:space="preserve">Proven experience in higher education analytics or institutional research.</w:t>
      </w:r>
    </w:p>
    <w:p>
      <w:pPr>
        <w:spacing w:after="140" w:line="300"/>
      </w:pPr>
      <w:r>
        <w:rPr>
          <w:rFonts w:ascii="Calibri" w:cs="Calibri" w:eastAsia="Calibri" w:hAnsi="Calibri"/>
          <w:b/>
          <w:bCs/>
          <w:color w:val="2E4D7B"/>
          <w:sz w:val="22"/>
          <w:szCs w:val="22"/>
        </w:rPr>
        <w:t xml:space="preserve">Technical Skills</w:t>
      </w:r>
    </w:p>
    <w:p>
      <w:pPr>
        <w:pStyle w:val="ListParagraph"/>
        <w:numPr>
          <w:ilvl w:val="0"/>
          <w:numId w:val="2"/>
        </w:numPr>
        <w:spacing w:after="90" w:line="300"/>
      </w:pPr>
      <w:r>
        <w:rPr>
          <w:rFonts w:ascii="Calibri" w:cs="Calibri" w:eastAsia="Calibri" w:hAnsi="Calibri"/>
          <w:color w:val="333333"/>
          <w:sz w:val="22"/>
          <w:szCs w:val="22"/>
        </w:rPr>
        <w:t xml:space="preserve">Proficiency in data analytics tools such as Python, R, SQL, and Tableau, with strong knowledge of machine learning algorithms and predictive modeling.</w:t>
      </w:r>
    </w:p>
    <w:p>
      <w:pPr>
        <w:pStyle w:val="ListParagraph"/>
        <w:numPr>
          <w:ilvl w:val="0"/>
          <w:numId w:val="2"/>
        </w:numPr>
        <w:spacing w:after="90" w:line="300"/>
      </w:pPr>
      <w:r>
        <w:rPr>
          <w:rFonts w:ascii="Calibri" w:cs="Calibri" w:eastAsia="Calibri" w:hAnsi="Calibri"/>
          <w:color w:val="333333"/>
          <w:sz w:val="22"/>
          <w:szCs w:val="22"/>
        </w:rPr>
        <w:t xml:space="preserve">Familiarity with student information systems (SIS) and learning management systems (LMS), plus experience with data cleaning, ETL processes, and large datasets.</w:t>
      </w:r>
    </w:p>
    <w:p>
      <w:pPr>
        <w:pStyle w:val="ListParagraph"/>
        <w:numPr>
          <w:ilvl w:val="0"/>
          <w:numId w:val="2"/>
        </w:numPr>
        <w:spacing w:after="90" w:line="300"/>
      </w:pPr>
      <w:r>
        <w:rPr>
          <w:rFonts w:ascii="Calibri" w:cs="Calibri" w:eastAsia="Calibri" w:hAnsi="Calibri"/>
          <w:color w:val="333333"/>
          <w:sz w:val="22"/>
          <w:szCs w:val="22"/>
        </w:rPr>
        <w:t xml:space="preserve">Excellent communication skills, with the ability to present complex insights to non-technical stakeholders.</w:t>
      </w:r>
    </w:p>
    <w:p>
      <w:pPr>
        <w:spacing w:after="140" w:line="300"/>
      </w:pPr>
      <w:r>
        <w:rPr>
          <w:rFonts w:ascii="Calibri" w:cs="Calibri" w:eastAsia="Calibri" w:hAnsi="Calibri"/>
          <w:b/>
          <w:bCs/>
          <w:color w:val="2E4D7B"/>
          <w:sz w:val="22"/>
          <w:szCs w:val="22"/>
        </w:rPr>
        <w:t xml:space="preserve">Preferred</w:t>
      </w:r>
    </w:p>
    <w:p>
      <w:pPr>
        <w:pStyle w:val="ListParagraph"/>
        <w:numPr>
          <w:ilvl w:val="0"/>
          <w:numId w:val="2"/>
        </w:numPr>
        <w:spacing w:after="90" w:line="300"/>
      </w:pPr>
      <w:r>
        <w:rPr>
          <w:rFonts w:ascii="Calibri" w:cs="Calibri" w:eastAsia="Calibri" w:hAnsi="Calibri"/>
          <w:color w:val="333333"/>
          <w:sz w:val="22"/>
          <w:szCs w:val="22"/>
        </w:rPr>
        <w:t xml:space="preserve">Enrollment management or institutional research experience, understanding of FERPA, and knowledge of statistical modeling, data mining, and natural language processing (NLP).</w:t>
      </w:r>
    </w:p>
    <w:p>
      <w:pPr>
        <w:pStyle w:val="ListParagraph"/>
        <w:numPr>
          <w:ilvl w:val="0"/>
          <w:numId w:val="2"/>
        </w:numPr>
        <w:spacing w:after="90" w:line="300"/>
      </w:pPr>
      <w:r>
        <w:rPr>
          <w:rFonts w:ascii="Calibri" w:cs="Calibri" w:eastAsia="Calibri" w:hAnsi="Calibri"/>
          <w:color w:val="333333"/>
          <w:sz w:val="22"/>
          <w:szCs w:val="22"/>
        </w:rPr>
        <w:t xml:space="preserve">Experience with cloud platforms such as AWS or Google Cloud.</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Higher Education Data Scientist?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