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Faculty, Middle East Studies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This faculty position contributes to an interdisciplinary Middle East Studies center's mission through cutting-edge research, dynamic teaching, and meaningful service. The center brings together a community of scholars from diverse disciplines, promoting innovative approaches to the study of history, culture, politics, economics, and society in the region.</w:t>
      </w:r>
    </w:p>
    <w:p>
      <w:pPr>
        <w:spacing w:after="140" w:line="300"/>
      </w:pPr>
      <w:r>
        <w:rPr>
          <w:rFonts w:ascii="Calibri" w:cs="Calibri" w:eastAsia="Calibri" w:hAnsi="Calibri"/>
          <w:color w:val="333333"/>
          <w:sz w:val="22"/>
          <w:szCs w:val="22"/>
        </w:rPr>
        <w:t xml:space="preserve">Scholars specializing in any area of Middle East Studies, such as modern or classical history, political science, anthropology, sociology, religious studies, literature, or economics, are encouraged to apply. It is an open-rank faculty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Research &amp; Teaching</w:t>
      </w:r>
    </w:p>
    <w:p>
      <w:pPr>
        <w:pStyle w:val="ListParagraph"/>
        <w:numPr>
          <w:ilvl w:val="0"/>
          <w:numId w:val="2"/>
        </w:numPr>
        <w:spacing w:after="90" w:line="300"/>
      </w:pPr>
      <w:r>
        <w:rPr>
          <w:rFonts w:ascii="Calibri" w:cs="Calibri" w:eastAsia="Calibri" w:hAnsi="Calibri"/>
          <w:color w:val="333333"/>
          <w:sz w:val="22"/>
          <w:szCs w:val="22"/>
        </w:rPr>
        <w:t xml:space="preserve">Conduct and publish original research in Middle East Studies.</w:t>
      </w:r>
    </w:p>
    <w:p>
      <w:pPr>
        <w:pStyle w:val="ListParagraph"/>
        <w:numPr>
          <w:ilvl w:val="0"/>
          <w:numId w:val="2"/>
        </w:numPr>
        <w:spacing w:after="90" w:line="300"/>
      </w:pPr>
      <w:r>
        <w:rPr>
          <w:rFonts w:ascii="Calibri" w:cs="Calibri" w:eastAsia="Calibri" w:hAnsi="Calibri"/>
          <w:color w:val="333333"/>
          <w:sz w:val="22"/>
          <w:szCs w:val="22"/>
        </w:rPr>
        <w:t xml:space="preserve">Teach undergraduate and graduate courses in the candidate's area of expertise.</w:t>
      </w:r>
    </w:p>
    <w:p>
      <w:pPr>
        <w:pStyle w:val="ListParagraph"/>
        <w:numPr>
          <w:ilvl w:val="0"/>
          <w:numId w:val="2"/>
        </w:numPr>
        <w:spacing w:after="90" w:line="300"/>
      </w:pPr>
      <w:r>
        <w:rPr>
          <w:rFonts w:ascii="Calibri" w:cs="Calibri" w:eastAsia="Calibri" w:hAnsi="Calibri"/>
          <w:color w:val="333333"/>
          <w:sz w:val="22"/>
          <w:szCs w:val="22"/>
        </w:rPr>
        <w:t xml:space="preserve">Supervise graduate students and contribute to the development of academic programs.</w:t>
      </w:r>
    </w:p>
    <w:p>
      <w:pPr>
        <w:spacing w:after="140" w:line="300"/>
      </w:pPr>
      <w:r>
        <w:rPr>
          <w:rFonts w:ascii="Calibri" w:cs="Calibri" w:eastAsia="Calibri" w:hAnsi="Calibri"/>
          <w:b/>
          <w:bCs/>
          <w:color w:val="2E4D7B"/>
          <w:sz w:val="22"/>
          <w:szCs w:val="22"/>
        </w:rPr>
        <w:t xml:space="preserve">Collaboration &amp; Engagement</w:t>
      </w:r>
    </w:p>
    <w:p>
      <w:pPr>
        <w:pStyle w:val="ListParagraph"/>
        <w:numPr>
          <w:ilvl w:val="0"/>
          <w:numId w:val="2"/>
        </w:numPr>
        <w:spacing w:after="90" w:line="300"/>
      </w:pPr>
      <w:r>
        <w:rPr>
          <w:rFonts w:ascii="Calibri" w:cs="Calibri" w:eastAsia="Calibri" w:hAnsi="Calibri"/>
          <w:color w:val="333333"/>
          <w:sz w:val="22"/>
          <w:szCs w:val="22"/>
        </w:rPr>
        <w:t xml:space="preserve">Engage in interdisciplinary collaboration within and beyond the center.</w:t>
      </w:r>
    </w:p>
    <w:p>
      <w:pPr>
        <w:pStyle w:val="ListParagraph"/>
        <w:numPr>
          <w:ilvl w:val="0"/>
          <w:numId w:val="2"/>
        </w:numPr>
        <w:spacing w:after="90" w:line="300"/>
      </w:pPr>
      <w:r>
        <w:rPr>
          <w:rFonts w:ascii="Calibri" w:cs="Calibri" w:eastAsia="Calibri" w:hAnsi="Calibri"/>
          <w:color w:val="333333"/>
          <w:sz w:val="22"/>
          <w:szCs w:val="22"/>
        </w:rPr>
        <w:t xml:space="preserve">Participate in outreach and public engagement initiatives related to the Middle East.</w:t>
      </w:r>
    </w:p>
    <w:p>
      <w:pPr>
        <w:pStyle w:val="ListParagraph"/>
        <w:numPr>
          <w:ilvl w:val="0"/>
          <w:numId w:val="2"/>
        </w:numPr>
        <w:spacing w:after="90" w:line="300"/>
      </w:pPr>
      <w:r>
        <w:rPr>
          <w:rFonts w:ascii="Calibri" w:cs="Calibri" w:eastAsia="Calibri" w:hAnsi="Calibri"/>
          <w:color w:val="333333"/>
          <w:sz w:val="22"/>
          <w:szCs w:val="22"/>
        </w:rPr>
        <w:t xml:space="preserve">Serve on departmental, university, and professional committees as required.</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Required</w:t>
      </w:r>
    </w:p>
    <w:p>
      <w:pPr>
        <w:pStyle w:val="ListParagraph"/>
        <w:numPr>
          <w:ilvl w:val="0"/>
          <w:numId w:val="2"/>
        </w:numPr>
        <w:spacing w:after="90" w:line="300"/>
      </w:pPr>
      <w:r>
        <w:rPr>
          <w:rFonts w:ascii="Calibri" w:cs="Calibri" w:eastAsia="Calibri" w:hAnsi="Calibri"/>
          <w:color w:val="333333"/>
          <w:sz w:val="22"/>
          <w:szCs w:val="22"/>
        </w:rPr>
        <w:t xml:space="preserve">PhD in Middle East Studies or a related field by the time of appointment.</w:t>
      </w:r>
    </w:p>
    <w:p>
      <w:pPr>
        <w:pStyle w:val="ListParagraph"/>
        <w:numPr>
          <w:ilvl w:val="0"/>
          <w:numId w:val="2"/>
        </w:numPr>
        <w:spacing w:after="90" w:line="300"/>
      </w:pPr>
      <w:r>
        <w:rPr>
          <w:rFonts w:ascii="Calibri" w:cs="Calibri" w:eastAsia="Calibri" w:hAnsi="Calibri"/>
          <w:color w:val="333333"/>
          <w:sz w:val="22"/>
          <w:szCs w:val="22"/>
        </w:rPr>
        <w:t xml:space="preserve">Demonstrated excellence in research, with a strong publication record, and proven or potential effectiveness in teaching at the undergraduate and graduate levels.</w:t>
      </w:r>
    </w:p>
    <w:p>
      <w:pPr>
        <w:pStyle w:val="ListParagraph"/>
        <w:numPr>
          <w:ilvl w:val="0"/>
          <w:numId w:val="2"/>
        </w:numPr>
        <w:spacing w:after="90" w:line="300"/>
      </w:pPr>
      <w:r>
        <w:rPr>
          <w:rFonts w:ascii="Calibri" w:cs="Calibri" w:eastAsia="Calibri" w:hAnsi="Calibri"/>
          <w:color w:val="333333"/>
          <w:sz w:val="22"/>
          <w:szCs w:val="22"/>
        </w:rPr>
        <w:t xml:space="preserve">Proficiency in one or more Middle Eastern languages, such as Arabic, Persian, Turkish, or Hebrew.</w:t>
      </w:r>
    </w:p>
    <w:p>
      <w:pPr>
        <w:spacing w:after="140" w:line="300"/>
      </w:pPr>
      <w:r>
        <w:rPr>
          <w:rFonts w:ascii="Calibri" w:cs="Calibri" w:eastAsia="Calibri" w:hAnsi="Calibri"/>
          <w:b/>
          <w:bCs/>
          <w:color w:val="2E4D7B"/>
          <w:sz w:val="22"/>
          <w:szCs w:val="22"/>
        </w:rPr>
        <w:t xml:space="preserve">Preferred</w:t>
      </w:r>
    </w:p>
    <w:p>
      <w:pPr>
        <w:pStyle w:val="ListParagraph"/>
        <w:numPr>
          <w:ilvl w:val="0"/>
          <w:numId w:val="2"/>
        </w:numPr>
        <w:spacing w:after="90" w:line="300"/>
      </w:pPr>
      <w:r>
        <w:rPr>
          <w:rFonts w:ascii="Calibri" w:cs="Calibri" w:eastAsia="Calibri" w:hAnsi="Calibri"/>
          <w:color w:val="333333"/>
          <w:sz w:val="22"/>
          <w:szCs w:val="22"/>
        </w:rPr>
        <w:t xml:space="preserve">Experience with interdisciplinary or transnational approaches to Middle East Studies.</w:t>
      </w:r>
    </w:p>
    <w:p>
      <w:pPr>
        <w:pStyle w:val="ListParagraph"/>
        <w:numPr>
          <w:ilvl w:val="0"/>
          <w:numId w:val="2"/>
        </w:numPr>
        <w:spacing w:after="90" w:line="300"/>
      </w:pPr>
      <w:r>
        <w:rPr>
          <w:rFonts w:ascii="Calibri" w:cs="Calibri" w:eastAsia="Calibri" w:hAnsi="Calibri"/>
          <w:color w:val="333333"/>
          <w:sz w:val="22"/>
          <w:szCs w:val="22"/>
        </w:rPr>
        <w:t xml:space="preserve">Evidence of public engagement or policy-related expertise, and the ability to contribute to diversity, equity, and inclusion initiatives.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Faculty, Middle East Studies?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