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University Partnerships and Development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leading higher education institution in South Florida is seeking a Director of University Partnerships and Development to drive strategic collaborations, expand institutional partnerships, and foster growth opportunities. The role identifies, develops, and manages key relationships with universities, corporate partners, and community organizations to enhance academic programs, increase enrollment, and support the institution's long-term vision.</w:t>
      </w:r>
    </w:p>
    <w:p>
      <w:pPr>
        <w:spacing w:after="140" w:line="300"/>
      </w:pPr>
      <w:r>
        <w:rPr>
          <w:rFonts w:ascii="Calibri" w:cs="Calibri" w:eastAsia="Calibri" w:hAnsi="Calibri"/>
          <w:color w:val="333333"/>
          <w:sz w:val="22"/>
          <w:szCs w:val="22"/>
        </w:rPr>
        <w:t xml:space="preserve">The ideal candidate is a dynamic relationship-builder with extensive experience in higher education partnerships, corporate engagement, and program development. They work closely with executive leadership, admissions, and academic departments to strengthen institutional collaborations and position the university as a leader in education, workforce development, and student success. The Director is one of the institution's most visible external representatives and carries real accountability for partnership growth outcomes.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Strategic Partnership Development</w:t>
      </w:r>
    </w:p>
    <w:p>
      <w:pPr>
        <w:pStyle w:val="ListParagraph"/>
        <w:numPr>
          <w:ilvl w:val="0"/>
          <w:numId w:val="2"/>
        </w:numPr>
        <w:spacing w:after="90" w:line="300"/>
      </w:pPr>
      <w:r>
        <w:rPr>
          <w:rFonts w:ascii="Calibri" w:cs="Calibri" w:eastAsia="Calibri" w:hAnsi="Calibri"/>
          <w:color w:val="333333"/>
          <w:sz w:val="22"/>
          <w:szCs w:val="22"/>
        </w:rPr>
        <w:t xml:space="preserve">Develop and execute a comprehensive strategic plan to establish, grow, and sustain university, corporate, and community partnerships that align with institutional enrollment and academic goals.</w:t>
      </w:r>
    </w:p>
    <w:p>
      <w:pPr>
        <w:pStyle w:val="ListParagraph"/>
        <w:numPr>
          <w:ilvl w:val="0"/>
          <w:numId w:val="2"/>
        </w:numPr>
        <w:spacing w:after="90" w:line="300"/>
      </w:pPr>
      <w:r>
        <w:rPr>
          <w:rFonts w:ascii="Calibri" w:cs="Calibri" w:eastAsia="Calibri" w:hAnsi="Calibri"/>
          <w:color w:val="333333"/>
          <w:sz w:val="22"/>
          <w:szCs w:val="22"/>
        </w:rPr>
        <w:t xml:space="preserve">Identify collaborative opportunities including articulation agreements, dual enrollment programs, pathway partnerships, and workforce development initiatives that expand student access and institutional reach.</w:t>
      </w:r>
    </w:p>
    <w:p>
      <w:pPr>
        <w:pStyle w:val="ListParagraph"/>
        <w:numPr>
          <w:ilvl w:val="0"/>
          <w:numId w:val="2"/>
        </w:numPr>
        <w:spacing w:after="90" w:line="300"/>
      </w:pPr>
      <w:r>
        <w:rPr>
          <w:rFonts w:ascii="Calibri" w:cs="Calibri" w:eastAsia="Calibri" w:hAnsi="Calibri"/>
          <w:color w:val="333333"/>
          <w:sz w:val="22"/>
          <w:szCs w:val="22"/>
        </w:rPr>
        <w:t xml:space="preserve">Negotiate and formalize MOUs, articulation agreements, and joint program initiatives to broaden academic offerings and create clear student transfer and completion pathways.</w:t>
      </w:r>
    </w:p>
    <w:p>
      <w:pPr>
        <w:spacing w:after="140" w:line="300"/>
      </w:pPr>
      <w:r>
        <w:rPr>
          <w:rFonts w:ascii="Calibri" w:cs="Calibri" w:eastAsia="Calibri" w:hAnsi="Calibri"/>
          <w:b/>
          <w:bCs/>
          <w:color w:val="2E4D7B"/>
          <w:sz w:val="22"/>
          <w:szCs w:val="22"/>
        </w:rPr>
        <w:t xml:space="preserve">Relationship Management</w:t>
      </w:r>
    </w:p>
    <w:p>
      <w:pPr>
        <w:pStyle w:val="ListParagraph"/>
        <w:numPr>
          <w:ilvl w:val="0"/>
          <w:numId w:val="2"/>
        </w:numPr>
        <w:spacing w:after="90" w:line="300"/>
      </w:pPr>
      <w:r>
        <w:rPr>
          <w:rFonts w:ascii="Calibri" w:cs="Calibri" w:eastAsia="Calibri" w:hAnsi="Calibri"/>
          <w:color w:val="333333"/>
          <w:sz w:val="22"/>
          <w:szCs w:val="22"/>
        </w:rPr>
        <w:t xml:space="preserve">Cultivate and maintain high-trust relationships with university leaders, corporate executives, government agency representatives, and community organization partners to drive enrollment growth and educational access.</w:t>
      </w:r>
    </w:p>
    <w:p>
      <w:pPr>
        <w:pStyle w:val="ListParagraph"/>
        <w:numPr>
          <w:ilvl w:val="0"/>
          <w:numId w:val="2"/>
        </w:numPr>
        <w:spacing w:after="90" w:line="300"/>
      </w:pPr>
      <w:r>
        <w:rPr>
          <w:rFonts w:ascii="Calibri" w:cs="Calibri" w:eastAsia="Calibri" w:hAnsi="Calibri"/>
          <w:color w:val="333333"/>
          <w:sz w:val="22"/>
          <w:szCs w:val="22"/>
        </w:rPr>
        <w:t xml:space="preserve">Serve as the institution's primary point of contact for external partner organizations, ensuring responsive communication and consistent follow-through on partnership commitments.</w:t>
      </w:r>
    </w:p>
    <w:p>
      <w:pPr>
        <w:pStyle w:val="ListParagraph"/>
        <w:numPr>
          <w:ilvl w:val="0"/>
          <w:numId w:val="2"/>
        </w:numPr>
        <w:spacing w:after="90" w:line="300"/>
      </w:pPr>
      <w:r>
        <w:rPr>
          <w:rFonts w:ascii="Calibri" w:cs="Calibri" w:eastAsia="Calibri" w:hAnsi="Calibri"/>
          <w:color w:val="333333"/>
          <w:sz w:val="22"/>
          <w:szCs w:val="22"/>
        </w:rPr>
        <w:t xml:space="preserve">Monitor the health and performance of existing partnerships, identifying opportunities to deepen or expand collaborations and flagging agreements that require renewal or renegotiation.</w:t>
      </w:r>
    </w:p>
    <w:p>
      <w:pPr>
        <w:spacing w:after="140" w:line="300"/>
      </w:pPr>
      <w:r>
        <w:rPr>
          <w:rFonts w:ascii="Calibri" w:cs="Calibri" w:eastAsia="Calibri" w:hAnsi="Calibri"/>
          <w:b/>
          <w:bCs/>
          <w:color w:val="2E4D7B"/>
          <w:sz w:val="22"/>
          <w:szCs w:val="22"/>
        </w:rPr>
        <w:t xml:space="preserve">Internal Collaboration</w:t>
      </w:r>
    </w:p>
    <w:p>
      <w:pPr>
        <w:pStyle w:val="ListParagraph"/>
        <w:numPr>
          <w:ilvl w:val="0"/>
          <w:numId w:val="2"/>
        </w:numPr>
        <w:spacing w:after="90" w:line="300"/>
      </w:pPr>
      <w:r>
        <w:rPr>
          <w:rFonts w:ascii="Calibri" w:cs="Calibri" w:eastAsia="Calibri" w:hAnsi="Calibri"/>
          <w:color w:val="333333"/>
          <w:sz w:val="22"/>
          <w:szCs w:val="22"/>
        </w:rPr>
        <w:t xml:space="preserve">Work closely with admissions, marketing, academic affairs, and financial aid teams so partnership initiatives are well-coordinated internally and student referral and enrollment processes run smoothly.</w:t>
      </w:r>
    </w:p>
    <w:p>
      <w:pPr>
        <w:pStyle w:val="ListParagraph"/>
        <w:numPr>
          <w:ilvl w:val="0"/>
          <w:numId w:val="2"/>
        </w:numPr>
        <w:spacing w:after="90" w:line="300"/>
      </w:pPr>
      <w:r>
        <w:rPr>
          <w:rFonts w:ascii="Calibri" w:cs="Calibri" w:eastAsia="Calibri" w:hAnsi="Calibri"/>
          <w:color w:val="333333"/>
          <w:sz w:val="22"/>
          <w:szCs w:val="22"/>
        </w:rPr>
        <w:t xml:space="preserve">Collaborate with program leadership to develop co-branded or co-delivered academic offerings that meet partner workforce needs and align with institutional curriculum standards.</w:t>
      </w:r>
    </w:p>
    <w:p>
      <w:pPr>
        <w:spacing w:after="140" w:line="300"/>
      </w:pPr>
      <w:r>
        <w:rPr>
          <w:rFonts w:ascii="Calibri" w:cs="Calibri" w:eastAsia="Calibri" w:hAnsi="Calibri"/>
          <w:b/>
          <w:bCs/>
          <w:color w:val="2E4D7B"/>
          <w:sz w:val="22"/>
          <w:szCs w:val="22"/>
        </w:rPr>
        <w:t xml:space="preserve">Visibility &amp; Market Intelligence</w:t>
      </w:r>
    </w:p>
    <w:p>
      <w:pPr>
        <w:pStyle w:val="ListParagraph"/>
        <w:numPr>
          <w:ilvl w:val="0"/>
          <w:numId w:val="2"/>
        </w:numPr>
        <w:spacing w:after="90" w:line="300"/>
      </w:pPr>
      <w:r>
        <w:rPr>
          <w:rFonts w:ascii="Calibri" w:cs="Calibri" w:eastAsia="Calibri" w:hAnsi="Calibri"/>
          <w:color w:val="333333"/>
          <w:sz w:val="22"/>
          <w:szCs w:val="22"/>
        </w:rPr>
        <w:t xml:space="preserve">Represent the institution at conferences, industry events, higher education forums, and networking functions to enhance visibility and build relationships with prospective partners.</w:t>
      </w:r>
    </w:p>
    <w:p>
      <w:pPr>
        <w:pStyle w:val="ListParagraph"/>
        <w:numPr>
          <w:ilvl w:val="0"/>
          <w:numId w:val="2"/>
        </w:numPr>
        <w:spacing w:after="90" w:line="300"/>
      </w:pPr>
      <w:r>
        <w:rPr>
          <w:rFonts w:ascii="Calibri" w:cs="Calibri" w:eastAsia="Calibri" w:hAnsi="Calibri"/>
          <w:color w:val="333333"/>
          <w:sz w:val="22"/>
          <w:szCs w:val="22"/>
        </w:rPr>
        <w:t xml:space="preserve">Contribute to the institution's reputation as a thought leader in education, workforce development, and regional economic impact through public engagement and professional association participation.</w:t>
      </w:r>
    </w:p>
    <w:p>
      <w:pPr>
        <w:pStyle w:val="ListParagraph"/>
        <w:numPr>
          <w:ilvl w:val="0"/>
          <w:numId w:val="2"/>
        </w:numPr>
        <w:spacing w:after="90" w:line="300"/>
      </w:pPr>
      <w:r>
        <w:rPr>
          <w:rFonts w:ascii="Calibri" w:cs="Calibri" w:eastAsia="Calibri" w:hAnsi="Calibri"/>
          <w:color w:val="333333"/>
          <w:sz w:val="22"/>
          <w:szCs w:val="22"/>
        </w:rPr>
        <w:t xml:space="preserve">Monitor and analyze higher education market trends, competitor partnership initiatives, and emerging regional workforce needs to inform and refine partnership strategy.</w:t>
      </w:r>
    </w:p>
    <w:p>
      <w:pPr>
        <w:pStyle w:val="ListParagraph"/>
        <w:numPr>
          <w:ilvl w:val="0"/>
          <w:numId w:val="2"/>
        </w:numPr>
        <w:spacing w:after="90" w:line="300"/>
      </w:pPr>
      <w:r>
        <w:rPr>
          <w:rFonts w:ascii="Calibri" w:cs="Calibri" w:eastAsia="Calibri" w:hAnsi="Calibri"/>
          <w:color w:val="333333"/>
          <w:sz w:val="22"/>
          <w:szCs w:val="22"/>
        </w:rPr>
        <w:t xml:space="preserve">Prepare regular reports on partnership pipeline activity, enrollment impact, and strategic goal progress for senior institutional leadership.</w:t>
      </w:r>
    </w:p>
    <w:p>
      <w:pPr>
        <w:spacing w:after="140" w:line="300"/>
      </w:pPr>
      <w:r>
        <w:rPr>
          <w:rFonts w:ascii="Calibri" w:cs="Calibri" w:eastAsia="Calibri" w:hAnsi="Calibri"/>
          <w:b/>
          <w:bCs/>
          <w:color w:val="2E4D7B"/>
          <w:sz w:val="22"/>
          <w:szCs w:val="22"/>
        </w:rPr>
        <w:t xml:space="preserve">Compliance &amp; Governance</w:t>
      </w:r>
    </w:p>
    <w:p>
      <w:pPr>
        <w:pStyle w:val="ListParagraph"/>
        <w:numPr>
          <w:ilvl w:val="0"/>
          <w:numId w:val="2"/>
        </w:numPr>
        <w:spacing w:after="90" w:line="300"/>
      </w:pPr>
      <w:r>
        <w:rPr>
          <w:rFonts w:ascii="Calibri" w:cs="Calibri" w:eastAsia="Calibri" w:hAnsi="Calibri"/>
          <w:color w:val="333333"/>
          <w:sz w:val="22"/>
          <w:szCs w:val="22"/>
        </w:rPr>
        <w:t xml:space="preserve">Ensure all partnership agreements comply with regional accreditation standards, institutional policies, and applicable regulatory requirements.</w:t>
      </w:r>
    </w:p>
    <w:p>
      <w:pPr>
        <w:pStyle w:val="ListParagraph"/>
        <w:numPr>
          <w:ilvl w:val="0"/>
          <w:numId w:val="2"/>
        </w:numPr>
        <w:spacing w:after="90" w:line="300"/>
      </w:pPr>
      <w:r>
        <w:rPr>
          <w:rFonts w:ascii="Calibri" w:cs="Calibri" w:eastAsia="Calibri" w:hAnsi="Calibri"/>
          <w:color w:val="333333"/>
          <w:sz w:val="22"/>
          <w:szCs w:val="22"/>
        </w:rPr>
        <w:t xml:space="preserve">Work with legal counsel and compliance staff to review, execute, and maintain formal partnership documentation in an organized and auditable manner.</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w:t>
      </w:r>
    </w:p>
    <w:p>
      <w:pPr>
        <w:pStyle w:val="ListParagraph"/>
        <w:numPr>
          <w:ilvl w:val="0"/>
          <w:numId w:val="2"/>
        </w:numPr>
        <w:spacing w:after="90" w:line="300"/>
      </w:pPr>
      <w:r>
        <w:rPr>
          <w:rFonts w:ascii="Calibri" w:cs="Calibri" w:eastAsia="Calibri" w:hAnsi="Calibri"/>
          <w:color w:val="333333"/>
          <w:sz w:val="22"/>
          <w:szCs w:val="22"/>
        </w:rPr>
        <w:t xml:space="preserve">Bachelor's degree required. Master's degree preferred in Education, Business Administration, Public Administration, or a closely related field. An advanced degree is strongly advantageous for senior-level partnership negotiations.</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Five or more years of experience in higher education, business development, or institutional partnerships, with a demonstrated track record of developing and managing university partnerships, articulation agreements, and enrollment growth strategies.</w:t>
      </w:r>
    </w:p>
    <w:p>
      <w:pPr>
        <w:spacing w:after="140" w:line="300"/>
      </w:pPr>
      <w:r>
        <w:rPr>
          <w:rFonts w:ascii="Calibri" w:cs="Calibri" w:eastAsia="Calibri" w:hAnsi="Calibri"/>
          <w:b/>
          <w:bCs/>
          <w:color w:val="2E4D7B"/>
          <w:sz w:val="22"/>
          <w:szCs w:val="22"/>
        </w:rPr>
        <w:t xml:space="preserve">Knowledge &amp; Sector Experience</w:t>
      </w:r>
    </w:p>
    <w:p>
      <w:pPr>
        <w:pStyle w:val="ListParagraph"/>
        <w:numPr>
          <w:ilvl w:val="0"/>
          <w:numId w:val="2"/>
        </w:numPr>
        <w:spacing w:after="90" w:line="300"/>
      </w:pPr>
      <w:r>
        <w:rPr>
          <w:rFonts w:ascii="Calibri" w:cs="Calibri" w:eastAsia="Calibri" w:hAnsi="Calibri"/>
          <w:color w:val="333333"/>
          <w:sz w:val="22"/>
          <w:szCs w:val="22"/>
        </w:rPr>
        <w:t xml:space="preserve">Excellent negotiation, relationship management, and stakeholder engagement skills, with knowledge of higher education accreditation standards, transfer credit frameworks, and student success best practices. Ability to travel as needed for partnership meetings and industry events.</w:t>
      </w:r>
    </w:p>
    <w:p>
      <w:pPr>
        <w:pStyle w:val="ListParagraph"/>
        <w:numPr>
          <w:ilvl w:val="0"/>
          <w:numId w:val="2"/>
        </w:numPr>
        <w:spacing w:after="90" w:line="300"/>
      </w:pPr>
      <w:r>
        <w:rPr>
          <w:rFonts w:ascii="Calibri" w:cs="Calibri" w:eastAsia="Calibri" w:hAnsi="Calibri"/>
          <w:color w:val="333333"/>
          <w:sz w:val="22"/>
          <w:szCs w:val="22"/>
        </w:rPr>
        <w:t xml:space="preserve">Experience collaborating with corporate partners, government agencies, and workforce development programs. Familiarity with the South Florida higher education landscape and regional employer ecosystem is a significant advantage.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University Partnerships and Development?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