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International Student Recruitment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International Student Recruitment leads an institution's global recruitment strategies. This critical leadership role drives international enrollment growth, builds meaningful partnerships, and enhances the institution's reputation worldwide, developing and executing comprehensive recruitment strategies aligned with goals for student diversity, enrollment targets, and market expansion.</w:t>
      </w:r>
    </w:p>
    <w:p>
      <w:pPr>
        <w:spacing w:after="140" w:line="300"/>
      </w:pPr>
      <w:r>
        <w:rPr>
          <w:rFonts w:ascii="Calibri" w:cs="Calibri" w:eastAsia="Calibri" w:hAnsi="Calibri"/>
          <w:color w:val="333333"/>
          <w:sz w:val="22"/>
          <w:szCs w:val="22"/>
        </w:rPr>
        <w:t xml:space="preserve">It manages a team of recruitment professionals and an international recruitment budget while partnering closely with marketing and admissions. It is a senior enrollment leadership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Market Analysis</w:t>
      </w:r>
    </w:p>
    <w:p>
      <w:pPr>
        <w:pStyle w:val="ListParagraph"/>
        <w:numPr>
          <w:ilvl w:val="0"/>
          <w:numId w:val="2"/>
        </w:numPr>
        <w:spacing w:after="90" w:line="300"/>
      </w:pPr>
      <w:r>
        <w:rPr>
          <w:rFonts w:ascii="Calibri" w:cs="Calibri" w:eastAsia="Calibri" w:hAnsi="Calibri"/>
          <w:color w:val="333333"/>
          <w:sz w:val="22"/>
          <w:szCs w:val="22"/>
        </w:rPr>
        <w:t xml:space="preserve">Develop and execute comprehensive international recruitment strategies aligned with the institution's goals for student diversity, enrollment targets, and market expansion.</w:t>
      </w:r>
    </w:p>
    <w:p>
      <w:pPr>
        <w:pStyle w:val="ListParagraph"/>
        <w:numPr>
          <w:ilvl w:val="0"/>
          <w:numId w:val="2"/>
        </w:numPr>
        <w:spacing w:after="90" w:line="300"/>
      </w:pPr>
      <w:r>
        <w:rPr>
          <w:rFonts w:ascii="Calibri" w:cs="Calibri" w:eastAsia="Calibri" w:hAnsi="Calibri"/>
          <w:color w:val="333333"/>
          <w:sz w:val="22"/>
          <w:szCs w:val="22"/>
        </w:rPr>
        <w:t xml:space="preserve">Identify and analyze key international markets, leveraging data and insights to inform recruitment plans and optimize outreach.</w:t>
      </w:r>
    </w:p>
    <w:p>
      <w:pPr>
        <w:pStyle w:val="ListParagraph"/>
        <w:numPr>
          <w:ilvl w:val="0"/>
          <w:numId w:val="2"/>
        </w:numPr>
        <w:spacing w:after="90" w:line="300"/>
      </w:pPr>
      <w:r>
        <w:rPr>
          <w:rFonts w:ascii="Calibri" w:cs="Calibri" w:eastAsia="Calibri" w:hAnsi="Calibri"/>
          <w:color w:val="333333"/>
          <w:sz w:val="22"/>
          <w:szCs w:val="22"/>
        </w:rPr>
        <w:t xml:space="preserve">Monitor and evaluate recruitment performance, using metrics to refine strategies and achieve enrollment targets.</w:t>
      </w:r>
    </w:p>
    <w:p>
      <w:pPr>
        <w:spacing w:after="140" w:line="300"/>
      </w:pPr>
      <w:r>
        <w:rPr>
          <w:rFonts w:ascii="Calibri" w:cs="Calibri" w:eastAsia="Calibri" w:hAnsi="Calibri"/>
          <w:b/>
          <w:bCs/>
          <w:color w:val="2E4D7B"/>
          <w:sz w:val="22"/>
          <w:szCs w:val="22"/>
        </w:rPr>
        <w:t xml:space="preserve">Partnerships &amp; Representation</w:t>
      </w:r>
    </w:p>
    <w:p>
      <w:pPr>
        <w:pStyle w:val="ListParagraph"/>
        <w:numPr>
          <w:ilvl w:val="0"/>
          <w:numId w:val="2"/>
        </w:numPr>
        <w:spacing w:after="90" w:line="300"/>
      </w:pPr>
      <w:r>
        <w:rPr>
          <w:rFonts w:ascii="Calibri" w:cs="Calibri" w:eastAsia="Calibri" w:hAnsi="Calibri"/>
          <w:color w:val="333333"/>
          <w:sz w:val="22"/>
          <w:szCs w:val="22"/>
        </w:rPr>
        <w:t xml:space="preserve">Establish and nurture partnerships with international schools, agents, governments, and organizations to support recruitment and strengthen global presence.</w:t>
      </w:r>
    </w:p>
    <w:p>
      <w:pPr>
        <w:pStyle w:val="ListParagraph"/>
        <w:numPr>
          <w:ilvl w:val="0"/>
          <w:numId w:val="2"/>
        </w:numPr>
        <w:spacing w:after="90" w:line="300"/>
      </w:pPr>
      <w:r>
        <w:rPr>
          <w:rFonts w:ascii="Calibri" w:cs="Calibri" w:eastAsia="Calibri" w:hAnsi="Calibri"/>
          <w:color w:val="333333"/>
          <w:sz w:val="22"/>
          <w:szCs w:val="22"/>
        </w:rPr>
        <w:t xml:space="preserve">Serve as the face of the institution at international events, fairs, and conferences, showcasing programs and building relationships with prospective students and stakeholders.</w:t>
      </w:r>
    </w:p>
    <w:p>
      <w:pPr>
        <w:pStyle w:val="ListParagraph"/>
        <w:numPr>
          <w:ilvl w:val="0"/>
          <w:numId w:val="2"/>
        </w:numPr>
        <w:spacing w:after="90" w:line="300"/>
      </w:pPr>
      <w:r>
        <w:rPr>
          <w:rFonts w:ascii="Calibri" w:cs="Calibri" w:eastAsia="Calibri" w:hAnsi="Calibri"/>
          <w:color w:val="333333"/>
          <w:sz w:val="22"/>
          <w:szCs w:val="22"/>
        </w:rPr>
        <w:t xml:space="preserve">Ensure recruitment practices align with international regulations, institutional policies, and ethical standards.</w:t>
      </w:r>
    </w:p>
    <w:p>
      <w:pPr>
        <w:spacing w:after="140" w:line="300"/>
      </w:pPr>
      <w:r>
        <w:rPr>
          <w:rFonts w:ascii="Calibri" w:cs="Calibri" w:eastAsia="Calibri" w:hAnsi="Calibri"/>
          <w:b/>
          <w:bCs/>
          <w:color w:val="2E4D7B"/>
          <w:sz w:val="22"/>
          <w:szCs w:val="22"/>
        </w:rPr>
        <w:t xml:space="preserve">Team, Budget &amp; Student Experience</w:t>
      </w:r>
    </w:p>
    <w:p>
      <w:pPr>
        <w:pStyle w:val="ListParagraph"/>
        <w:numPr>
          <w:ilvl w:val="0"/>
          <w:numId w:val="2"/>
        </w:numPr>
        <w:spacing w:after="90" w:line="300"/>
      </w:pPr>
      <w:r>
        <w:rPr>
          <w:rFonts w:ascii="Calibri" w:cs="Calibri" w:eastAsia="Calibri" w:hAnsi="Calibri"/>
          <w:color w:val="333333"/>
          <w:sz w:val="22"/>
          <w:szCs w:val="22"/>
        </w:rPr>
        <w:t xml:space="preserve">Oversee and manage a team of recruitment professionals, providing guidance, support, and professional development, and develop and manage the international recruitment budget for strong return on investment.</w:t>
      </w:r>
    </w:p>
    <w:p>
      <w:pPr>
        <w:pStyle w:val="ListParagraph"/>
        <w:numPr>
          <w:ilvl w:val="0"/>
          <w:numId w:val="2"/>
        </w:numPr>
        <w:spacing w:after="90" w:line="300"/>
      </w:pPr>
      <w:r>
        <w:rPr>
          <w:rFonts w:ascii="Calibri" w:cs="Calibri" w:eastAsia="Calibri" w:hAnsi="Calibri"/>
          <w:color w:val="333333"/>
          <w:sz w:val="22"/>
          <w:szCs w:val="22"/>
        </w:rPr>
        <w:t xml:space="preserve">Work closely with marketing and communications to design targeted campaigns that resonate with diverse cultural audiences.</w:t>
      </w:r>
    </w:p>
    <w:p>
      <w:pPr>
        <w:pStyle w:val="ListParagraph"/>
        <w:numPr>
          <w:ilvl w:val="0"/>
          <w:numId w:val="2"/>
        </w:numPr>
        <w:spacing w:after="90" w:line="300"/>
      </w:pPr>
      <w:r>
        <w:rPr>
          <w:rFonts w:ascii="Calibri" w:cs="Calibri" w:eastAsia="Calibri" w:hAnsi="Calibri"/>
          <w:color w:val="333333"/>
          <w:sz w:val="22"/>
          <w:szCs w:val="22"/>
        </w:rPr>
        <w:t xml:space="preserve">Champion an exceptional experience for international applicants, guiding them seamlessly through the admissions process.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required; master's degree in a related field preferred.</w:t>
      </w:r>
    </w:p>
    <w:p>
      <w:pPr>
        <w:pStyle w:val="ListParagraph"/>
        <w:numPr>
          <w:ilvl w:val="0"/>
          <w:numId w:val="2"/>
        </w:numPr>
        <w:spacing w:after="90" w:line="300"/>
      </w:pPr>
      <w:r>
        <w:rPr>
          <w:rFonts w:ascii="Calibri" w:cs="Calibri" w:eastAsia="Calibri" w:hAnsi="Calibri"/>
          <w:color w:val="333333"/>
          <w:sz w:val="22"/>
          <w:szCs w:val="22"/>
        </w:rPr>
        <w:t xml:space="preserve">Minimum of seven to ten years of progressive experience in international student recruitment or related fields, with a proven track record of achieving enrollment growth.</w:t>
      </w:r>
    </w:p>
    <w:p>
      <w:pPr>
        <w:spacing w:after="140" w:line="300"/>
      </w:pPr>
      <w:r>
        <w:rPr>
          <w:rFonts w:ascii="Calibri" w:cs="Calibri" w:eastAsia="Calibri" w:hAnsi="Calibri"/>
          <w:b/>
          <w:bCs/>
          <w:color w:val="2E4D7B"/>
          <w:sz w:val="22"/>
          <w:szCs w:val="22"/>
        </w:rPr>
        <w:t xml:space="preserve">Skills &amp; Attributes</w:t>
      </w:r>
    </w:p>
    <w:p>
      <w:pPr>
        <w:pStyle w:val="ListParagraph"/>
        <w:numPr>
          <w:ilvl w:val="0"/>
          <w:numId w:val="2"/>
        </w:numPr>
        <w:spacing w:after="90" w:line="300"/>
      </w:pPr>
      <w:r>
        <w:rPr>
          <w:rFonts w:ascii="Calibri" w:cs="Calibri" w:eastAsia="Calibri" w:hAnsi="Calibri"/>
          <w:color w:val="333333"/>
          <w:sz w:val="22"/>
          <w:szCs w:val="22"/>
        </w:rPr>
        <w:t xml:space="preserve">Demonstrated ability to lead, inspire, and manage teams effectively, with in-depth understanding of international education systems, cultural nuances, and recruitment trends across diverse regions.</w:t>
      </w:r>
    </w:p>
    <w:p>
      <w:pPr>
        <w:pStyle w:val="ListParagraph"/>
        <w:numPr>
          <w:ilvl w:val="0"/>
          <w:numId w:val="2"/>
        </w:numPr>
        <w:spacing w:after="90" w:line="300"/>
      </w:pPr>
      <w:r>
        <w:rPr>
          <w:rFonts w:ascii="Calibri" w:cs="Calibri" w:eastAsia="Calibri" w:hAnsi="Calibri"/>
          <w:color w:val="333333"/>
          <w:sz w:val="22"/>
          <w:szCs w:val="22"/>
        </w:rPr>
        <w:t xml:space="preserve">Strong analytical skills and familiarity with enrollment management software, CRM tools, and digital recruitment platforms.</w:t>
      </w:r>
    </w:p>
    <w:p>
      <w:pPr>
        <w:pStyle w:val="ListParagraph"/>
        <w:numPr>
          <w:ilvl w:val="0"/>
          <w:numId w:val="2"/>
        </w:numPr>
        <w:spacing w:after="90" w:line="300"/>
      </w:pPr>
      <w:r>
        <w:rPr>
          <w:rFonts w:ascii="Calibri" w:cs="Calibri" w:eastAsia="Calibri" w:hAnsi="Calibri"/>
          <w:color w:val="333333"/>
          <w:sz w:val="22"/>
          <w:szCs w:val="22"/>
        </w:rPr>
        <w:t xml:space="preserve">Exceptional communication skills and the flexibility to travel extensively and work across time zones to build relationships and represent the institution internationally.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International Student Recruitment?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