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Director of Human Resources</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Director of Human Resources oversees all HR operations, policies, and initiatives that support the university's mission and goals. Reporting to the Vice President for Administration, the Director leads efforts to attract, retain, and develop a diverse and talented workforce while fostering a culture of collaboration, equity, and inclusion across the institution.</w:t>
      </w:r>
    </w:p>
    <w:p>
      <w:pPr>
        <w:spacing w:after="140" w:line="300"/>
      </w:pPr>
      <w:r>
        <w:rPr>
          <w:rFonts w:ascii="Calibri" w:cs="Calibri" w:eastAsia="Calibri" w:hAnsi="Calibri"/>
          <w:color w:val="333333"/>
          <w:sz w:val="22"/>
          <w:szCs w:val="22"/>
        </w:rPr>
        <w:t xml:space="preserve">As a trusted advisor and strategic partner to senior leadership, the Director provides leadership across talent acquisition, employee relations, performance management, organizational development, and compliance. Higher education experience is strongly preferred, since the regulatory environment, shared governance culture, and workforce complexity of a university are distinct from most other settings. It is a senior administrative role within the higher education sector.</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Strategic Leadership</w:t>
      </w:r>
    </w:p>
    <w:p>
      <w:pPr>
        <w:pStyle w:val="ListParagraph"/>
        <w:numPr>
          <w:ilvl w:val="0"/>
          <w:numId w:val="2"/>
        </w:numPr>
        <w:spacing w:after="90" w:line="300"/>
      </w:pPr>
      <w:r>
        <w:rPr>
          <w:rFonts w:ascii="Calibri" w:cs="Calibri" w:eastAsia="Calibri" w:hAnsi="Calibri"/>
          <w:color w:val="333333"/>
          <w:sz w:val="22"/>
          <w:szCs w:val="22"/>
        </w:rPr>
        <w:t xml:space="preserve">Develop and implement HR strategies that align with the university's mission and the evolving landscape of higher education workforce management.</w:t>
      </w:r>
    </w:p>
    <w:p>
      <w:pPr>
        <w:pStyle w:val="ListParagraph"/>
        <w:numPr>
          <w:ilvl w:val="0"/>
          <w:numId w:val="2"/>
        </w:numPr>
        <w:spacing w:after="90" w:line="300"/>
      </w:pPr>
      <w:r>
        <w:rPr>
          <w:rFonts w:ascii="Calibri" w:cs="Calibri" w:eastAsia="Calibri" w:hAnsi="Calibri"/>
          <w:color w:val="333333"/>
          <w:sz w:val="22"/>
          <w:szCs w:val="22"/>
        </w:rPr>
        <w:t xml:space="preserve">Partner with senior leadership and academic deans on workforce planning, organizational structure, policy development, and institutional culture.</w:t>
      </w:r>
    </w:p>
    <w:p>
      <w:pPr>
        <w:pStyle w:val="ListParagraph"/>
        <w:numPr>
          <w:ilvl w:val="0"/>
          <w:numId w:val="2"/>
        </w:numPr>
        <w:spacing w:after="90" w:line="300"/>
      </w:pPr>
      <w:r>
        <w:rPr>
          <w:rFonts w:ascii="Calibri" w:cs="Calibri" w:eastAsia="Calibri" w:hAnsi="Calibri"/>
          <w:color w:val="333333"/>
          <w:sz w:val="22"/>
          <w:szCs w:val="22"/>
        </w:rPr>
        <w:t xml:space="preserve">Foster a workplace culture that values diversity, equity, inclusion, and genuine collaboration across faculty, staff, and administrators.</w:t>
      </w:r>
    </w:p>
    <w:p>
      <w:pPr>
        <w:spacing w:after="140" w:line="300"/>
      </w:pPr>
      <w:r>
        <w:rPr>
          <w:rFonts w:ascii="Calibri" w:cs="Calibri" w:eastAsia="Calibri" w:hAnsi="Calibri"/>
          <w:b/>
          <w:bCs/>
          <w:color w:val="2E4D7B"/>
          <w:sz w:val="22"/>
          <w:szCs w:val="22"/>
        </w:rPr>
        <w:t xml:space="preserve">Operations, Talent &amp; Compliance</w:t>
      </w:r>
    </w:p>
    <w:p>
      <w:pPr>
        <w:pStyle w:val="ListParagraph"/>
        <w:numPr>
          <w:ilvl w:val="0"/>
          <w:numId w:val="2"/>
        </w:numPr>
        <w:spacing w:after="90" w:line="300"/>
      </w:pPr>
      <w:r>
        <w:rPr>
          <w:rFonts w:ascii="Calibri" w:cs="Calibri" w:eastAsia="Calibri" w:hAnsi="Calibri"/>
          <w:color w:val="333333"/>
          <w:sz w:val="22"/>
          <w:szCs w:val="22"/>
        </w:rPr>
        <w:t xml:space="preserve">Oversee recruitment, onboarding, employee relations, benefits administration, compensation, leave management, and professional development.</w:t>
      </w:r>
    </w:p>
    <w:p>
      <w:pPr>
        <w:pStyle w:val="ListParagraph"/>
        <w:numPr>
          <w:ilvl w:val="0"/>
          <w:numId w:val="2"/>
        </w:numPr>
        <w:spacing w:after="90" w:line="300"/>
      </w:pPr>
      <w:r>
        <w:rPr>
          <w:rFonts w:ascii="Calibri" w:cs="Calibri" w:eastAsia="Calibri" w:hAnsi="Calibri"/>
          <w:color w:val="333333"/>
          <w:sz w:val="22"/>
          <w:szCs w:val="22"/>
        </w:rPr>
        <w:t xml:space="preserve">Ensure full compliance with federal, state, and local employment laws and regulations, institutional policies, and accreditation standards.</w:t>
      </w:r>
    </w:p>
    <w:p>
      <w:pPr>
        <w:pStyle w:val="ListParagraph"/>
        <w:numPr>
          <w:ilvl w:val="0"/>
          <w:numId w:val="2"/>
        </w:numPr>
        <w:spacing w:after="90" w:line="300"/>
      </w:pPr>
      <w:r>
        <w:rPr>
          <w:rFonts w:ascii="Calibri" w:cs="Calibri" w:eastAsia="Calibri" w:hAnsi="Calibri"/>
          <w:color w:val="333333"/>
          <w:sz w:val="22"/>
          <w:szCs w:val="22"/>
        </w:rPr>
        <w:t xml:space="preserve">Develop equity-centered recruitment strategies that attract top faculty and staff, and lead onboarding, training, leadership development, and succession planning.</w:t>
      </w:r>
    </w:p>
    <w:p>
      <w:pPr>
        <w:spacing w:after="140" w:line="300"/>
      </w:pPr>
      <w:r>
        <w:rPr>
          <w:rFonts w:ascii="Calibri" w:cs="Calibri" w:eastAsia="Calibri" w:hAnsi="Calibri"/>
          <w:b/>
          <w:bCs/>
          <w:color w:val="2E4D7B"/>
          <w:sz w:val="22"/>
          <w:szCs w:val="22"/>
        </w:rPr>
        <w:t xml:space="preserve">Employee Relations &amp; Data</w:t>
      </w:r>
    </w:p>
    <w:p>
      <w:pPr>
        <w:pStyle w:val="ListParagraph"/>
        <w:numPr>
          <w:ilvl w:val="0"/>
          <w:numId w:val="2"/>
        </w:numPr>
        <w:spacing w:after="90" w:line="300"/>
      </w:pPr>
      <w:r>
        <w:rPr>
          <w:rFonts w:ascii="Calibri" w:cs="Calibri" w:eastAsia="Calibri" w:hAnsi="Calibri"/>
          <w:color w:val="333333"/>
          <w:sz w:val="22"/>
          <w:szCs w:val="22"/>
        </w:rPr>
        <w:t xml:space="preserve">Serve as a trusted advisor on HR policy, conflict resolution, performance management, and progressive discipline, and oversee investigations into employee concerns and grievances.</w:t>
      </w:r>
    </w:p>
    <w:p>
      <w:pPr>
        <w:pStyle w:val="ListParagraph"/>
        <w:numPr>
          <w:ilvl w:val="0"/>
          <w:numId w:val="2"/>
        </w:numPr>
        <w:spacing w:after="90" w:line="300"/>
      </w:pPr>
      <w:r>
        <w:rPr>
          <w:rFonts w:ascii="Calibri" w:cs="Calibri" w:eastAsia="Calibri" w:hAnsi="Calibri"/>
          <w:color w:val="333333"/>
          <w:sz w:val="22"/>
          <w:szCs w:val="22"/>
        </w:rPr>
        <w:t xml:space="preserve">Analyze HR metrics, workforce data, and labor-market trends to inform strategic decisions and address people challenges proactively.</w:t>
      </w:r>
    </w:p>
    <w:p>
      <w:pPr>
        <w:pStyle w:val="ListParagraph"/>
        <w:numPr>
          <w:ilvl w:val="0"/>
          <w:numId w:val="2"/>
        </w:numPr>
        <w:spacing w:after="90" w:line="300"/>
      </w:pPr>
      <w:r>
        <w:rPr>
          <w:rFonts w:ascii="Calibri" w:cs="Calibri" w:eastAsia="Calibri" w:hAnsi="Calibri"/>
          <w:color w:val="333333"/>
          <w:sz w:val="22"/>
          <w:szCs w:val="22"/>
        </w:rPr>
        <w:t xml:space="preserve">Use HRIS and analytics platforms to improve the accuracy, accessibility, and strategic value of workforce data, and report regularly to leadership.</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Bachelor's degree in Human Resources, Business Administration, or a related field; master's strongly preferred. Certifications such as SPHR, PHR, SHRM-SCP, or SHRM-CP may partially substitute for advanced-degree requirements.</w:t>
      </w:r>
    </w:p>
    <w:p>
      <w:pPr>
        <w:pStyle w:val="ListParagraph"/>
        <w:numPr>
          <w:ilvl w:val="0"/>
          <w:numId w:val="2"/>
        </w:numPr>
        <w:spacing w:after="90" w:line="300"/>
      </w:pPr>
      <w:r>
        <w:rPr>
          <w:rFonts w:ascii="Calibri" w:cs="Calibri" w:eastAsia="Calibri" w:hAnsi="Calibri"/>
          <w:color w:val="333333"/>
          <w:sz w:val="22"/>
          <w:szCs w:val="22"/>
        </w:rPr>
        <w:t xml:space="preserve">Minimum of seven to ten years of progressive HR leadership experience, ideally in higher education or a large, complex organization.</w:t>
      </w:r>
    </w:p>
    <w:p>
      <w:pPr>
        <w:spacing w:after="140" w:line="300"/>
      </w:pPr>
      <w:r>
        <w:rPr>
          <w:rFonts w:ascii="Calibri" w:cs="Calibri" w:eastAsia="Calibri" w:hAnsi="Calibri"/>
          <w:b/>
          <w:bCs/>
          <w:color w:val="2E4D7B"/>
          <w:sz w:val="22"/>
          <w:szCs w:val="22"/>
        </w:rPr>
        <w:t xml:space="preserve">Knowledge &amp; Skills</w:t>
      </w:r>
    </w:p>
    <w:p>
      <w:pPr>
        <w:pStyle w:val="ListParagraph"/>
        <w:numPr>
          <w:ilvl w:val="0"/>
          <w:numId w:val="2"/>
        </w:numPr>
        <w:spacing w:after="90" w:line="300"/>
      </w:pPr>
      <w:r>
        <w:rPr>
          <w:rFonts w:ascii="Calibri" w:cs="Calibri" w:eastAsia="Calibri" w:hAnsi="Calibri"/>
          <w:color w:val="333333"/>
          <w:sz w:val="22"/>
          <w:szCs w:val="22"/>
        </w:rPr>
        <w:t xml:space="preserve">Comprehensive knowledge of HR principles, employment law, and compliance requirements.</w:t>
      </w:r>
    </w:p>
    <w:p>
      <w:pPr>
        <w:pStyle w:val="ListParagraph"/>
        <w:numPr>
          <w:ilvl w:val="0"/>
          <w:numId w:val="2"/>
        </w:numPr>
        <w:spacing w:after="90" w:line="300"/>
      </w:pPr>
      <w:r>
        <w:rPr>
          <w:rFonts w:ascii="Calibri" w:cs="Calibri" w:eastAsia="Calibri" w:hAnsi="Calibri"/>
          <w:color w:val="333333"/>
          <w:sz w:val="22"/>
          <w:szCs w:val="22"/>
        </w:rPr>
        <w:t xml:space="preserve">Proven success leading organizational change and implementing HR best practices.</w:t>
      </w:r>
    </w:p>
    <w:p>
      <w:pPr>
        <w:pStyle w:val="ListParagraph"/>
        <w:numPr>
          <w:ilvl w:val="0"/>
          <w:numId w:val="2"/>
        </w:numPr>
        <w:spacing w:after="90" w:line="300"/>
      </w:pPr>
      <w:r>
        <w:rPr>
          <w:rFonts w:ascii="Calibri" w:cs="Calibri" w:eastAsia="Calibri" w:hAnsi="Calibri"/>
          <w:color w:val="333333"/>
          <w:sz w:val="22"/>
          <w:szCs w:val="22"/>
        </w:rPr>
        <w:t xml:space="preserve">Strong analytical and problem-solving skills, with demonstrated ability to use workforce data to drive strategic decisions, plus familiarity with enterprise HRIS platforms.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Director of Human Resources?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