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Financial Aid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Director of Financial Aid serves as a strategic leader responsible for overseeing all aspects of financial aid administration, ensuring compliance with federal, state, and institutional regulations while fostering a student-focused approach. The role aligns financial aid strategy with institutional goals to support access, affordability, and student success, and collaborates with internal and external stakeholders to deliver a seamless aid experience.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leadership role within the enrollment and higher education space, leading the aid team and the aid budget while partnering closely with admissions and enrollment.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Program Leadership &amp; Budget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the planning and implementation of the institution's financial aid programs, including federal, state, institutional, and private funding.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the financial aid team and promote a culture of innovation and service excellence.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the financial aid budget, including scholarship allocation and forecasting, ensuring optimal use of resources to meet enrollment objectives.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Compliance &amp; Partnership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compliance with all applicable regulations, including Title IV and FERPA, and prepare for audits, reviews, and accreditation visits.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admissions and enrollment teams to optimize recruitment and retention, and partner with academic and student services to support students facing financial challenges.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Communication &amp; Outreach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timely, accurate communication to students and families, resolving escalated concerns and appeals professionally and empathetically.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Educate students and families about aid opportunities through workshops, presentations, and resources.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strong relationships with external agencies, lenders, and scholarship providers to enhance funding opportunities.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a related field, master's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At least five years of progressive experience in financial aid administration, including three years in a leadership role.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Knowledge &amp;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Deep understanding of federal and state financial aid regulations, and experience with aid management systems such as Banner or PowerFAIDS.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analytical, communication, and presentation skills, with a demonstrated commitment to diversity, equity, and inclusion.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Preferred: experience with strategic enrollment management and expertise in leveraging data for decision-making and reporting.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Financial Aid?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