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Education</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Education is responsible for overseeing the academic department of the campus, including managing instructional staff, curriculum development, and student management to ensure high-quality education and student satisfaction. The role sits at the intersection of academic leadership, operational management, and student advocacy, requiring both a strategic mindset and a hands-on presence in the day-to-day life of the campus.</w:t>
      </w:r>
    </w:p>
    <w:p>
      <w:pPr>
        <w:spacing w:after="140" w:line="300"/>
      </w:pPr>
      <w:r>
        <w:rPr>
          <w:rFonts w:ascii="Calibri" w:cs="Calibri" w:eastAsia="Calibri" w:hAnsi="Calibri"/>
          <w:color w:val="333333"/>
          <w:sz w:val="22"/>
          <w:szCs w:val="22"/>
        </w:rPr>
        <w:t xml:space="preserve">The Director works closely with Program Supervisors, Instructors, and campus leadership to uphold academic standards, drive continuous improvement, and ensure that students have the resources and support they need to succeed. This position is central to accreditation compliance, faculty development, and the overall quality of the student learning experience within higher education.</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Academic Operations &amp; Records</w:t>
      </w:r>
    </w:p>
    <w:p>
      <w:pPr>
        <w:pStyle w:val="ListParagraph"/>
        <w:numPr>
          <w:ilvl w:val="0"/>
          <w:numId w:val="2"/>
        </w:numPr>
        <w:spacing w:after="90" w:line="300"/>
      </w:pPr>
      <w:r>
        <w:rPr>
          <w:rFonts w:ascii="Calibri" w:cs="Calibri" w:eastAsia="Calibri" w:hAnsi="Calibri"/>
          <w:color w:val="333333"/>
          <w:sz w:val="22"/>
          <w:szCs w:val="22"/>
        </w:rPr>
        <w:t xml:space="preserve">Collaborate with Program Supervisors and Instructors to monitor student attendance, academic progress, grades, and individualized support plans.</w:t>
      </w:r>
    </w:p>
    <w:p>
      <w:pPr>
        <w:pStyle w:val="ListParagraph"/>
        <w:numPr>
          <w:ilvl w:val="0"/>
          <w:numId w:val="2"/>
        </w:numPr>
        <w:spacing w:after="90" w:line="300"/>
      </w:pPr>
      <w:r>
        <w:rPr>
          <w:rFonts w:ascii="Calibri" w:cs="Calibri" w:eastAsia="Calibri" w:hAnsi="Calibri"/>
          <w:color w:val="333333"/>
          <w:sz w:val="22"/>
          <w:szCs w:val="22"/>
        </w:rPr>
        <w:t xml:space="preserve">Prepare and maintain necessary documentation including leave of absence paperwork, withdrawal processing, and academic records.</w:t>
      </w:r>
    </w:p>
    <w:p>
      <w:pPr>
        <w:pStyle w:val="ListParagraph"/>
        <w:numPr>
          <w:ilvl w:val="0"/>
          <w:numId w:val="2"/>
        </w:numPr>
        <w:spacing w:after="90" w:line="300"/>
      </w:pPr>
      <w:r>
        <w:rPr>
          <w:rFonts w:ascii="Calibri" w:cs="Calibri" w:eastAsia="Calibri" w:hAnsi="Calibri"/>
          <w:color w:val="333333"/>
          <w:sz w:val="22"/>
          <w:szCs w:val="22"/>
        </w:rPr>
        <w:t xml:space="preserve">Manage the campus academic budget, ensuring programmatic needs are met within approved financial parameters.</w:t>
      </w:r>
    </w:p>
    <w:p>
      <w:pPr>
        <w:spacing w:after="140" w:line="300"/>
      </w:pPr>
      <w:r>
        <w:rPr>
          <w:rFonts w:ascii="Calibri" w:cs="Calibri" w:eastAsia="Calibri" w:hAnsi="Calibri"/>
          <w:b/>
          <w:bCs/>
          <w:color w:val="2E4D7B"/>
          <w:sz w:val="22"/>
          <w:szCs w:val="22"/>
        </w:rPr>
        <w:t xml:space="preserve">Curriculum &amp; Compliance</w:t>
      </w:r>
    </w:p>
    <w:p>
      <w:pPr>
        <w:pStyle w:val="ListParagraph"/>
        <w:numPr>
          <w:ilvl w:val="0"/>
          <w:numId w:val="2"/>
        </w:numPr>
        <w:spacing w:after="90" w:line="300"/>
      </w:pPr>
      <w:r>
        <w:rPr>
          <w:rFonts w:ascii="Calibri" w:cs="Calibri" w:eastAsia="Calibri" w:hAnsi="Calibri"/>
          <w:color w:val="333333"/>
          <w:sz w:val="22"/>
          <w:szCs w:val="22"/>
        </w:rPr>
        <w:t xml:space="preserve">Develop, implement, and revise the curriculum in coordination with the Dean of Academics and Program Supervisors to align with industry standards and accreditor requirements.</w:t>
      </w:r>
    </w:p>
    <w:p>
      <w:pPr>
        <w:pStyle w:val="ListParagraph"/>
        <w:numPr>
          <w:ilvl w:val="0"/>
          <w:numId w:val="2"/>
        </w:numPr>
        <w:spacing w:after="90" w:line="300"/>
      </w:pPr>
      <w:r>
        <w:rPr>
          <w:rFonts w:ascii="Calibri" w:cs="Calibri" w:eastAsia="Calibri" w:hAnsi="Calibri"/>
          <w:color w:val="333333"/>
          <w:sz w:val="22"/>
          <w:szCs w:val="22"/>
        </w:rPr>
        <w:t xml:space="preserve">Coordinate and participate in academic committee meetings, ensuring institutional compliance with accreditation and regulatory standards.</w:t>
      </w:r>
    </w:p>
    <w:p>
      <w:pPr>
        <w:pStyle w:val="ListParagraph"/>
        <w:numPr>
          <w:ilvl w:val="0"/>
          <w:numId w:val="2"/>
        </w:numPr>
        <w:spacing w:after="90" w:line="300"/>
      </w:pPr>
      <w:r>
        <w:rPr>
          <w:rFonts w:ascii="Calibri" w:cs="Calibri" w:eastAsia="Calibri" w:hAnsi="Calibri"/>
          <w:color w:val="333333"/>
          <w:sz w:val="22"/>
          <w:szCs w:val="22"/>
        </w:rPr>
        <w:t xml:space="preserve">Assist with developing and submitting regulatory responses and accreditation-related documentation.</w:t>
      </w:r>
    </w:p>
    <w:p>
      <w:pPr>
        <w:spacing w:after="140" w:line="300"/>
      </w:pPr>
      <w:r>
        <w:rPr>
          <w:rFonts w:ascii="Calibri" w:cs="Calibri" w:eastAsia="Calibri" w:hAnsi="Calibri"/>
          <w:b/>
          <w:bCs/>
          <w:color w:val="2E4D7B"/>
          <w:sz w:val="22"/>
          <w:szCs w:val="22"/>
        </w:rPr>
        <w:t xml:space="preserve">Faculty Leadership</w:t>
      </w:r>
    </w:p>
    <w:p>
      <w:pPr>
        <w:pStyle w:val="ListParagraph"/>
        <w:numPr>
          <w:ilvl w:val="0"/>
          <w:numId w:val="2"/>
        </w:numPr>
        <w:spacing w:after="90" w:line="300"/>
      </w:pPr>
      <w:r>
        <w:rPr>
          <w:rFonts w:ascii="Calibri" w:cs="Calibri" w:eastAsia="Calibri" w:hAnsi="Calibri"/>
          <w:color w:val="333333"/>
          <w:sz w:val="22"/>
          <w:szCs w:val="22"/>
        </w:rPr>
        <w:t xml:space="preserve">Manage, train, coach, and supervise instructors and program supervisors, fostering a culture of instructional excellence and professional growth.</w:t>
      </w:r>
    </w:p>
    <w:p>
      <w:pPr>
        <w:pStyle w:val="ListParagraph"/>
        <w:numPr>
          <w:ilvl w:val="0"/>
          <w:numId w:val="2"/>
        </w:numPr>
        <w:spacing w:after="90" w:line="300"/>
      </w:pPr>
      <w:r>
        <w:rPr>
          <w:rFonts w:ascii="Calibri" w:cs="Calibri" w:eastAsia="Calibri" w:hAnsi="Calibri"/>
          <w:color w:val="333333"/>
          <w:sz w:val="22"/>
          <w:szCs w:val="22"/>
        </w:rPr>
        <w:t xml:space="preserve">Coordinate and plan internal academic training programs and faculty professional development initiatives.</w:t>
      </w:r>
    </w:p>
    <w:p>
      <w:pPr>
        <w:pStyle w:val="ListParagraph"/>
        <w:numPr>
          <w:ilvl w:val="0"/>
          <w:numId w:val="2"/>
        </w:numPr>
        <w:spacing w:after="90" w:line="300"/>
      </w:pPr>
      <w:r>
        <w:rPr>
          <w:rFonts w:ascii="Calibri" w:cs="Calibri" w:eastAsia="Calibri" w:hAnsi="Calibri"/>
          <w:color w:val="333333"/>
          <w:sz w:val="22"/>
          <w:szCs w:val="22"/>
        </w:rPr>
        <w:t xml:space="preserve">Conduct regular classroom observations to ensure teaching standards, delivery methods, and student engagement meet institutional expectations.</w:t>
      </w:r>
    </w:p>
    <w:p>
      <w:pPr>
        <w:pStyle w:val="ListParagraph"/>
        <w:numPr>
          <w:ilvl w:val="0"/>
          <w:numId w:val="2"/>
        </w:numPr>
        <w:spacing w:after="90" w:line="300"/>
      </w:pPr>
      <w:r>
        <w:rPr>
          <w:rFonts w:ascii="Calibri" w:cs="Calibri" w:eastAsia="Calibri" w:hAnsi="Calibri"/>
          <w:color w:val="333333"/>
          <w:sz w:val="22"/>
          <w:szCs w:val="22"/>
        </w:rPr>
        <w:t xml:space="preserve">Oversee employee relations within the academic department, handling performance management, coaching, and corrective action processes.</w:t>
      </w:r>
    </w:p>
    <w:p>
      <w:pPr>
        <w:spacing w:after="140" w:line="300"/>
      </w:pPr>
      <w:r>
        <w:rPr>
          <w:rFonts w:ascii="Calibri" w:cs="Calibri" w:eastAsia="Calibri" w:hAnsi="Calibri"/>
          <w:b/>
          <w:bCs/>
          <w:color w:val="2E4D7B"/>
          <w:sz w:val="22"/>
          <w:szCs w:val="22"/>
        </w:rPr>
        <w:t xml:space="preserve">Student Success &amp; Retention</w:t>
      </w:r>
    </w:p>
    <w:p>
      <w:pPr>
        <w:pStyle w:val="ListParagraph"/>
        <w:numPr>
          <w:ilvl w:val="0"/>
          <w:numId w:val="2"/>
        </w:numPr>
        <w:spacing w:after="90" w:line="300"/>
      </w:pPr>
      <w:r>
        <w:rPr>
          <w:rFonts w:ascii="Calibri" w:cs="Calibri" w:eastAsia="Calibri" w:hAnsi="Calibri"/>
          <w:color w:val="333333"/>
          <w:sz w:val="22"/>
          <w:szCs w:val="22"/>
        </w:rPr>
        <w:t xml:space="preserve">Provide direct guidance to students in meeting their educational goals and resolving academic grievances in a timely and supportive manner.</w:t>
      </w:r>
    </w:p>
    <w:p>
      <w:pPr>
        <w:pStyle w:val="ListParagraph"/>
        <w:numPr>
          <w:ilvl w:val="0"/>
          <w:numId w:val="2"/>
        </w:numPr>
        <w:spacing w:after="90" w:line="300"/>
      </w:pPr>
      <w:r>
        <w:rPr>
          <w:rFonts w:ascii="Calibri" w:cs="Calibri" w:eastAsia="Calibri" w:hAnsi="Calibri"/>
          <w:color w:val="333333"/>
          <w:sz w:val="22"/>
          <w:szCs w:val="22"/>
        </w:rPr>
        <w:t xml:space="preserve">Review student satisfaction surveys and work with program supervisors to address concerns and implement program improvements.</w:t>
      </w:r>
    </w:p>
    <w:p>
      <w:pPr>
        <w:pStyle w:val="ListParagraph"/>
        <w:numPr>
          <w:ilvl w:val="0"/>
          <w:numId w:val="2"/>
        </w:numPr>
        <w:spacing w:after="90" w:line="300"/>
      </w:pPr>
      <w:r>
        <w:rPr>
          <w:rFonts w:ascii="Calibri" w:cs="Calibri" w:eastAsia="Calibri" w:hAnsi="Calibri"/>
          <w:color w:val="333333"/>
          <w:sz w:val="22"/>
          <w:szCs w:val="22"/>
        </w:rPr>
        <w:t xml:space="preserve">Lead the campus re-enrollment committee, developing strategies to retain at-risk students and support their return to active enrollment.</w:t>
      </w:r>
    </w:p>
    <w:p>
      <w:pPr>
        <w:pStyle w:val="ListParagraph"/>
        <w:numPr>
          <w:ilvl w:val="0"/>
          <w:numId w:val="2"/>
        </w:numPr>
        <w:spacing w:after="90" w:line="300"/>
      </w:pPr>
      <w:r>
        <w:rPr>
          <w:rFonts w:ascii="Calibri" w:cs="Calibri" w:eastAsia="Calibri" w:hAnsi="Calibri"/>
          <w:color w:val="333333"/>
          <w:sz w:val="22"/>
          <w:szCs w:val="22"/>
        </w:rPr>
        <w:t xml:space="preserve">Ensure adequate tutoring services, academic support resources, and intervention programs are available to all enrolled students.</w:t>
      </w:r>
    </w:p>
    <w:p>
      <w:pPr>
        <w:pStyle w:val="ListParagraph"/>
        <w:numPr>
          <w:ilvl w:val="0"/>
          <w:numId w:val="2"/>
        </w:numPr>
        <w:spacing w:after="90" w:line="300"/>
      </w:pPr>
      <w:r>
        <w:rPr>
          <w:rFonts w:ascii="Calibri" w:cs="Calibri" w:eastAsia="Calibri" w:hAnsi="Calibri"/>
          <w:color w:val="333333"/>
          <w:sz w:val="22"/>
          <w:szCs w:val="22"/>
        </w:rPr>
        <w:t xml:space="preserve">Organize and participate in student orientations, graduation ceremonies, and key campus events that support student success and institutional culture.</w:t>
      </w:r>
    </w:p>
    <w:p>
      <w:pPr>
        <w:spacing w:after="140" w:line="300"/>
      </w:pPr>
      <w:r>
        <w:rPr>
          <w:rFonts w:ascii="Calibri" w:cs="Calibri" w:eastAsia="Calibri" w:hAnsi="Calibri"/>
          <w:b/>
          <w:bCs/>
          <w:color w:val="2E4D7B"/>
          <w:sz w:val="22"/>
          <w:szCs w:val="22"/>
        </w:rPr>
        <w:t xml:space="preserve">Secondary Duties</w:t>
      </w:r>
    </w:p>
    <w:p>
      <w:pPr>
        <w:pStyle w:val="ListParagraph"/>
        <w:numPr>
          <w:ilvl w:val="0"/>
          <w:numId w:val="2"/>
        </w:numPr>
        <w:spacing w:after="90" w:line="300"/>
      </w:pPr>
      <w:r>
        <w:rPr>
          <w:rFonts w:ascii="Calibri" w:cs="Calibri" w:eastAsia="Calibri" w:hAnsi="Calibri"/>
          <w:color w:val="333333"/>
          <w:sz w:val="22"/>
          <w:szCs w:val="22"/>
        </w:rPr>
        <w:t xml:space="preserve">Schedule and coordinate student activities, field experiences, and program affiliations that supplement classroom instruction.</w:t>
      </w:r>
    </w:p>
    <w:p>
      <w:pPr>
        <w:pStyle w:val="ListParagraph"/>
        <w:numPr>
          <w:ilvl w:val="0"/>
          <w:numId w:val="2"/>
        </w:numPr>
        <w:spacing w:after="90" w:line="300"/>
      </w:pPr>
      <w:r>
        <w:rPr>
          <w:rFonts w:ascii="Calibri" w:cs="Calibri" w:eastAsia="Calibri" w:hAnsi="Calibri"/>
          <w:color w:val="333333"/>
          <w:sz w:val="22"/>
          <w:szCs w:val="22"/>
        </w:rPr>
        <w:t xml:space="preserve">Oversee the College Success Center in compliance with institutional and accreditation standards.</w:t>
      </w:r>
    </w:p>
    <w:p>
      <w:pPr>
        <w:pStyle w:val="ListParagraph"/>
        <w:numPr>
          <w:ilvl w:val="0"/>
          <w:numId w:val="2"/>
        </w:numPr>
        <w:spacing w:after="90" w:line="300"/>
      </w:pPr>
      <w:r>
        <w:rPr>
          <w:rFonts w:ascii="Calibri" w:cs="Calibri" w:eastAsia="Calibri" w:hAnsi="Calibri"/>
          <w:color w:val="333333"/>
          <w:sz w:val="22"/>
          <w:szCs w:val="22"/>
        </w:rPr>
        <w:t xml:space="preserve">Verify that faculty credentialing is completed and maintained in compliance with applicable accreditor and regulatory standards.</w:t>
      </w:r>
    </w:p>
    <w:p>
      <w:pPr>
        <w:pStyle w:val="ListParagraph"/>
        <w:numPr>
          <w:ilvl w:val="0"/>
          <w:numId w:val="2"/>
        </w:numPr>
        <w:spacing w:after="90" w:line="300"/>
      </w:pPr>
      <w:r>
        <w:rPr>
          <w:rFonts w:ascii="Calibri" w:cs="Calibri" w:eastAsia="Calibri" w:hAnsi="Calibri"/>
          <w:color w:val="333333"/>
          <w:sz w:val="22"/>
          <w:szCs w:val="22"/>
        </w:rPr>
        <w:t xml:space="preserve">Serve as a substitute instructor when operational needs require coverage, maintaining continuity of instruction.</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w:t>
      </w:r>
    </w:p>
    <w:p>
      <w:pPr>
        <w:pStyle w:val="ListParagraph"/>
        <w:numPr>
          <w:ilvl w:val="0"/>
          <w:numId w:val="2"/>
        </w:numPr>
        <w:spacing w:after="90" w:line="300"/>
      </w:pPr>
      <w:r>
        <w:rPr>
          <w:rFonts w:ascii="Calibri" w:cs="Calibri" w:eastAsia="Calibri" w:hAnsi="Calibri"/>
          <w:color w:val="333333"/>
          <w:sz w:val="22"/>
          <w:szCs w:val="22"/>
        </w:rPr>
        <w:t xml:space="preserve">Bachelor's degree in Education, Business, Leadership, or a related field. A master's degree in Education, Curriculum and Instruction, or Higher Education Administration is preferred.</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Three or more years of instructional or formal training experience, combined with three or more years of progressive academic leadership responsibility in a post-secondary setting.</w:t>
      </w:r>
    </w:p>
    <w:p>
      <w:pPr>
        <w:spacing w:after="140" w:line="300"/>
      </w:pPr>
      <w:r>
        <w:rPr>
          <w:rFonts w:ascii="Calibri" w:cs="Calibri" w:eastAsia="Calibri" w:hAnsi="Calibri"/>
          <w:b/>
          <w:bCs/>
          <w:color w:val="2E4D7B"/>
          <w:sz w:val="22"/>
          <w:szCs w:val="22"/>
        </w:rPr>
        <w:t xml:space="preserve">Schedule &amp; Additional Requirements</w:t>
      </w:r>
    </w:p>
    <w:p>
      <w:pPr>
        <w:pStyle w:val="ListParagraph"/>
        <w:numPr>
          <w:ilvl w:val="0"/>
          <w:numId w:val="2"/>
        </w:numPr>
        <w:spacing w:after="90" w:line="300"/>
      </w:pPr>
      <w:r>
        <w:rPr>
          <w:rFonts w:ascii="Calibri" w:cs="Calibri" w:eastAsia="Calibri" w:hAnsi="Calibri"/>
          <w:color w:val="333333"/>
          <w:sz w:val="22"/>
          <w:szCs w:val="22"/>
        </w:rPr>
        <w:t xml:space="preserve">Flexible within a standard 40-hour work week, adjusted to meet the operational needs of campus students and staff, and may include evening or weekend hours.</w:t>
      </w:r>
    </w:p>
    <w:p>
      <w:pPr>
        <w:pStyle w:val="ListParagraph"/>
        <w:numPr>
          <w:ilvl w:val="0"/>
          <w:numId w:val="2"/>
        </w:numPr>
        <w:spacing w:after="90" w:line="300"/>
      </w:pPr>
      <w:r>
        <w:rPr>
          <w:rFonts w:ascii="Calibri" w:cs="Calibri" w:eastAsia="Calibri" w:hAnsi="Calibri"/>
          <w:color w:val="333333"/>
          <w:sz w:val="22"/>
          <w:szCs w:val="22"/>
        </w:rPr>
        <w:t xml:space="preserve">Demonstrated proficiency with student information systems, learning management platforms, and academic reporting tools. Experience with accreditation processes strongly preferred.</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Education?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