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Montserrat" w:cs="Montserrat" w:eastAsia="Montserrat" w:hAnsi="Montserrat"/>
          <w:b/>
          <w:bCs/>
          <w:color w:val="A61E22"/>
          <w:sz w:val="18"/>
          <w:szCs w:val="18"/>
        </w:rPr>
        <w:t xml:space="preserve">JOB DESCRIPTION TEMPLATE</w:t>
      </w:r>
    </w:p>
    <w:p>
      <w:pPr>
        <w:pBdr>
          <w:bottom w:val="single" w:color="2E4D7B" w:sz="8" w:space="6"/>
        </w:pBdr>
        <w:spacing w:after="120"/>
      </w:pPr>
      <w:r>
        <w:rPr>
          <w:rFonts w:ascii="Montserrat" w:cs="Montserrat" w:eastAsia="Montserrat" w:hAnsi="Montserrat"/>
          <w:b/>
          <w:bCs/>
          <w:color w:val="2E4D7B"/>
          <w:sz w:val="44"/>
          <w:szCs w:val="44"/>
        </w:rPr>
        <w:t xml:space="preserve">Director of Alumni Relations</w:t>
      </w:r>
    </w:p>
    <w:p>
      <w:pPr>
        <w:spacing w:after="140" w:line="300"/>
      </w:pPr>
      <w:r>
        <w:rPr>
          <w:rFonts w:ascii="Calibri" w:cs="Calibri" w:eastAsia="Calibri" w:hAnsi="Calibri"/>
          <w:i/>
          <w:iCs/>
          <w:color w:val="666666"/>
          <w:sz w:val="20"/>
          <w:szCs w:val="20"/>
        </w:rPr>
        <w:t xml:space="preserve">Provided by Excelon Associates, excelonassociates.com. Replace the bracketed placeholders with your institution details and adapt any section to fit your posting.</w:t>
      </w:r>
    </w:p>
    <w:p>
      <w:pPr>
        <w:pStyle w:val="Heading1"/>
        <w:spacing w:after="140" w:before="320"/>
      </w:pPr>
      <w:r>
        <w:rPr>
          <w:rFonts w:ascii="Montserrat" w:cs="Montserrat" w:eastAsia="Montserrat" w:hAnsi="Montserrat"/>
          <w:b/>
          <w:bCs/>
          <w:color w:val="2E4D7B"/>
          <w:sz w:val="26"/>
          <w:szCs w:val="26"/>
        </w:rPr>
        <w:t xml:space="preserve">Position Details</w:t>
      </w:r>
    </w:p>
    <w:p>
      <w:pPr>
        <w:spacing w:after="80"/>
      </w:pPr>
      <w:r>
        <w:rPr>
          <w:rFonts w:ascii="Calibri" w:cs="Calibri" w:eastAsia="Calibri" w:hAnsi="Calibri"/>
          <w:b/>
          <w:bCs/>
          <w:color w:val="2E4D7B"/>
          <w:sz w:val="22"/>
          <w:szCs w:val="22"/>
        </w:rPr>
        <w:t xml:space="preserve">Institution: </w:t>
      </w:r>
      <w:r>
        <w:rPr>
          <w:rFonts w:ascii="Calibri" w:cs="Calibri" w:eastAsia="Calibri" w:hAnsi="Calibri"/>
          <w:color w:val="333333"/>
          <w:sz w:val="22"/>
          <w:szCs w:val="22"/>
        </w:rPr>
        <w:t xml:space="preserve">[Institution Name]</w:t>
      </w:r>
    </w:p>
    <w:p>
      <w:pPr>
        <w:spacing w:after="80"/>
      </w:pPr>
      <w:r>
        <w:rPr>
          <w:rFonts w:ascii="Calibri" w:cs="Calibri" w:eastAsia="Calibri" w:hAnsi="Calibri"/>
          <w:b/>
          <w:bCs/>
          <w:color w:val="2E4D7B"/>
          <w:sz w:val="22"/>
          <w:szCs w:val="22"/>
        </w:rPr>
        <w:t xml:space="preserve">Location: </w:t>
      </w:r>
      <w:r>
        <w:rPr>
          <w:rFonts w:ascii="Calibri" w:cs="Calibri" w:eastAsia="Calibri" w:hAnsi="Calibri"/>
          <w:color w:val="333333"/>
          <w:sz w:val="22"/>
          <w:szCs w:val="22"/>
        </w:rPr>
        <w:t xml:space="preserve">[City, State]</w:t>
      </w:r>
    </w:p>
    <w:p>
      <w:pPr>
        <w:spacing w:after="80"/>
      </w:pPr>
      <w:r>
        <w:rPr>
          <w:rFonts w:ascii="Calibri" w:cs="Calibri" w:eastAsia="Calibri" w:hAnsi="Calibri"/>
          <w:b/>
          <w:bCs/>
          <w:color w:val="2E4D7B"/>
          <w:sz w:val="22"/>
          <w:szCs w:val="22"/>
        </w:rPr>
        <w:t xml:space="preserve">Reports To: </w:t>
      </w:r>
      <w:r>
        <w:rPr>
          <w:rFonts w:ascii="Calibri" w:cs="Calibri" w:eastAsia="Calibri" w:hAnsi="Calibri"/>
          <w:color w:val="333333"/>
          <w:sz w:val="22"/>
          <w:szCs w:val="22"/>
        </w:rPr>
        <w:t xml:space="preserve">[VP of Advancement / Chief Development Officer]</w:t>
      </w:r>
    </w:p>
    <w:p>
      <w:pPr>
        <w:spacing w:after="80"/>
      </w:pPr>
      <w:r>
        <w:rPr>
          <w:rFonts w:ascii="Calibri" w:cs="Calibri" w:eastAsia="Calibri" w:hAnsi="Calibri"/>
          <w:b/>
          <w:bCs/>
          <w:color w:val="2E4D7B"/>
          <w:sz w:val="22"/>
          <w:szCs w:val="22"/>
        </w:rPr>
        <w:t xml:space="preserve">Classification: </w:t>
      </w:r>
      <w:r>
        <w:rPr>
          <w:rFonts w:ascii="Calibri" w:cs="Calibri" w:eastAsia="Calibri" w:hAnsi="Calibri"/>
          <w:color w:val="333333"/>
          <w:sz w:val="22"/>
          <w:szCs w:val="22"/>
        </w:rPr>
        <w:t xml:space="preserve">[Full Time, Exempt]</w:t>
      </w:r>
    </w:p>
    <w:p>
      <w:pPr>
        <w:spacing w:after="80"/>
      </w:pPr>
      <w:r>
        <w:rPr>
          <w:rFonts w:ascii="Calibri" w:cs="Calibri" w:eastAsia="Calibri" w:hAnsi="Calibri"/>
          <w:b/>
          <w:bCs/>
          <w:color w:val="2E4D7B"/>
          <w:sz w:val="22"/>
          <w:szCs w:val="22"/>
        </w:rPr>
        <w:t xml:space="preserve">Salary Range: </w:t>
      </w:r>
      <w:r>
        <w:rPr>
          <w:rFonts w:ascii="Calibri" w:cs="Calibri" w:eastAsia="Calibri" w:hAnsi="Calibri"/>
          <w:color w:val="333333"/>
          <w:sz w:val="22"/>
          <w:szCs w:val="22"/>
        </w:rPr>
        <w:t xml:space="preserve">[Salary Range]</w:t>
      </w:r>
    </w:p>
    <w:p>
      <w:pPr>
        <w:pStyle w:val="Heading1"/>
        <w:spacing w:after="140" w:before="320"/>
      </w:pPr>
      <w:r>
        <w:rPr>
          <w:rFonts w:ascii="Montserrat" w:cs="Montserrat" w:eastAsia="Montserrat" w:hAnsi="Montserrat"/>
          <w:b/>
          <w:bCs/>
          <w:color w:val="2E4D7B"/>
          <w:sz w:val="26"/>
          <w:szCs w:val="26"/>
        </w:rPr>
        <w:t xml:space="preserve">About the Role</w:t>
      </w:r>
    </w:p>
    <w:p>
      <w:pPr>
        <w:spacing w:after="140" w:line="300"/>
      </w:pPr>
      <w:r>
        <w:rPr>
          <w:rFonts w:ascii="Calibri" w:cs="Calibri" w:eastAsia="Calibri" w:hAnsi="Calibri"/>
          <w:color w:val="333333"/>
          <w:sz w:val="22"/>
          <w:szCs w:val="22"/>
        </w:rPr>
        <w:t xml:space="preserve">The Director of Alumni Relations owns the institution's relationship with its graduates. The role designs and runs the engagement program: reunions and signature events, regional chapters, volunteer and mentorship programs, alumni communications, and the data work that tracks who is engaged and who is drifting away.</w:t>
      </w:r>
    </w:p>
    <w:p>
      <w:pPr>
        <w:spacing w:after="140" w:line="300"/>
      </w:pPr>
      <w:r>
        <w:rPr>
          <w:rFonts w:ascii="Calibri" w:cs="Calibri" w:eastAsia="Calibri" w:hAnsi="Calibri"/>
          <w:color w:val="333333"/>
          <w:sz w:val="22"/>
          <w:szCs w:val="22"/>
        </w:rPr>
        <w:t xml:space="preserve">The director also connects engagement to institutional outcomes, partnering with development on the pipeline from engaged alumni to donors, with admissions on alumni referrals and interviewing, and with career services on mentorship and hiring networks. The role usually sits in the advancement division within higher education.</w:t>
      </w:r>
    </w:p>
    <w:p>
      <w:pPr>
        <w:pStyle w:val="Heading1"/>
        <w:spacing w:after="140" w:before="320"/>
      </w:pPr>
      <w:r>
        <w:rPr>
          <w:rFonts w:ascii="Montserrat" w:cs="Montserrat" w:eastAsia="Montserrat" w:hAnsi="Montserrat"/>
          <w:b/>
          <w:bCs/>
          <w:color w:val="2E4D7B"/>
          <w:sz w:val="26"/>
          <w:szCs w:val="26"/>
        </w:rPr>
        <w:t xml:space="preserve">Key Responsibilities</w:t>
      </w:r>
    </w:p>
    <w:p>
      <w:pPr>
        <w:spacing w:after="140" w:line="300"/>
      </w:pPr>
      <w:r>
        <w:rPr>
          <w:rFonts w:ascii="Calibri" w:cs="Calibri" w:eastAsia="Calibri" w:hAnsi="Calibri"/>
          <w:b/>
          <w:bCs/>
          <w:color w:val="2E4D7B"/>
          <w:sz w:val="22"/>
          <w:szCs w:val="22"/>
        </w:rPr>
        <w:t xml:space="preserve">Engagement &amp; Programs</w:t>
      </w:r>
    </w:p>
    <w:p>
      <w:pPr>
        <w:pStyle w:val="ListParagraph"/>
        <w:numPr>
          <w:ilvl w:val="0"/>
          <w:numId w:val="2"/>
        </w:numPr>
        <w:spacing w:after="90" w:line="300"/>
      </w:pPr>
      <w:r>
        <w:rPr>
          <w:rFonts w:ascii="Calibri" w:cs="Calibri" w:eastAsia="Calibri" w:hAnsi="Calibri"/>
          <w:color w:val="333333"/>
          <w:sz w:val="22"/>
          <w:szCs w:val="22"/>
        </w:rPr>
        <w:t xml:space="preserve">Design and execute the annual alumni engagement plan, including reunions, signature events, regional chapters, and affinity groups.</w:t>
      </w:r>
    </w:p>
    <w:p>
      <w:pPr>
        <w:pStyle w:val="ListParagraph"/>
        <w:numPr>
          <w:ilvl w:val="0"/>
          <w:numId w:val="2"/>
        </w:numPr>
        <w:spacing w:after="90" w:line="300"/>
      </w:pPr>
      <w:r>
        <w:rPr>
          <w:rFonts w:ascii="Calibri" w:cs="Calibri" w:eastAsia="Calibri" w:hAnsi="Calibri"/>
          <w:color w:val="333333"/>
          <w:sz w:val="22"/>
          <w:szCs w:val="22"/>
        </w:rPr>
        <w:t xml:space="preserve">Build volunteer, mentorship, and career networking programs that give alumni meaningful ways to serve current students.</w:t>
      </w:r>
    </w:p>
    <w:p>
      <w:pPr>
        <w:pStyle w:val="ListParagraph"/>
        <w:numPr>
          <w:ilvl w:val="0"/>
          <w:numId w:val="2"/>
        </w:numPr>
        <w:spacing w:after="90" w:line="300"/>
      </w:pPr>
      <w:r>
        <w:rPr>
          <w:rFonts w:ascii="Calibri" w:cs="Calibri" w:eastAsia="Calibri" w:hAnsi="Calibri"/>
          <w:color w:val="333333"/>
          <w:sz w:val="22"/>
          <w:szCs w:val="22"/>
        </w:rPr>
        <w:t xml:space="preserve">Own alumni communications across email, social, and the alumni magazine or newsletter, keeping content worth opening.</w:t>
      </w:r>
    </w:p>
    <w:p>
      <w:pPr>
        <w:spacing w:after="140" w:line="300"/>
      </w:pPr>
      <w:r>
        <w:rPr>
          <w:rFonts w:ascii="Calibri" w:cs="Calibri" w:eastAsia="Calibri" w:hAnsi="Calibri"/>
          <w:b/>
          <w:bCs/>
          <w:color w:val="2E4D7B"/>
          <w:sz w:val="22"/>
          <w:szCs w:val="22"/>
        </w:rPr>
        <w:t xml:space="preserve">Pipeline &amp; Data</w:t>
      </w:r>
    </w:p>
    <w:p>
      <w:pPr>
        <w:pStyle w:val="ListParagraph"/>
        <w:numPr>
          <w:ilvl w:val="0"/>
          <w:numId w:val="2"/>
        </w:numPr>
        <w:spacing w:after="90" w:line="300"/>
      </w:pPr>
      <w:r>
        <w:rPr>
          <w:rFonts w:ascii="Calibri" w:cs="Calibri" w:eastAsia="Calibri" w:hAnsi="Calibri"/>
          <w:color w:val="333333"/>
          <w:sz w:val="22"/>
          <w:szCs w:val="22"/>
        </w:rPr>
        <w:t xml:space="preserve">Partner with development to move engaged alumni toward giving, sharing engagement signals that inform gift officer outreach.</w:t>
      </w:r>
    </w:p>
    <w:p>
      <w:pPr>
        <w:pStyle w:val="ListParagraph"/>
        <w:numPr>
          <w:ilvl w:val="0"/>
          <w:numId w:val="2"/>
        </w:numPr>
        <w:spacing w:after="90" w:line="300"/>
      </w:pPr>
      <w:r>
        <w:rPr>
          <w:rFonts w:ascii="Calibri" w:cs="Calibri" w:eastAsia="Calibri" w:hAnsi="Calibri"/>
          <w:color w:val="333333"/>
          <w:sz w:val="22"/>
          <w:szCs w:val="22"/>
        </w:rPr>
        <w:t xml:space="preserve">Maintain alumni data quality in the advancement CRM, tracking engagement scores, contact coverage, and program participation.</w:t>
      </w:r>
    </w:p>
    <w:p>
      <w:pPr>
        <w:pStyle w:val="ListParagraph"/>
        <w:numPr>
          <w:ilvl w:val="0"/>
          <w:numId w:val="2"/>
        </w:numPr>
        <w:spacing w:after="90" w:line="300"/>
      </w:pPr>
      <w:r>
        <w:rPr>
          <w:rFonts w:ascii="Calibri" w:cs="Calibri" w:eastAsia="Calibri" w:hAnsi="Calibri"/>
          <w:color w:val="333333"/>
          <w:sz w:val="22"/>
          <w:szCs w:val="22"/>
        </w:rPr>
        <w:t xml:space="preserve">Report engagement metrics to advancement leadership, tying program spend to participation and pipeline outcomes.</w:t>
      </w:r>
    </w:p>
    <w:p>
      <w:pPr>
        <w:spacing w:after="140" w:line="300"/>
      </w:pPr>
      <w:r>
        <w:rPr>
          <w:rFonts w:ascii="Calibri" w:cs="Calibri" w:eastAsia="Calibri" w:hAnsi="Calibri"/>
          <w:b/>
          <w:bCs/>
          <w:color w:val="2E4D7B"/>
          <w:sz w:val="22"/>
          <w:szCs w:val="22"/>
        </w:rPr>
        <w:t xml:space="preserve">Team &amp; Stakeholders</w:t>
      </w:r>
    </w:p>
    <w:p>
      <w:pPr>
        <w:pStyle w:val="ListParagraph"/>
        <w:numPr>
          <w:ilvl w:val="0"/>
          <w:numId w:val="2"/>
        </w:numPr>
        <w:spacing w:after="90" w:line="300"/>
      </w:pPr>
      <w:r>
        <w:rPr>
          <w:rFonts w:ascii="Calibri" w:cs="Calibri" w:eastAsia="Calibri" w:hAnsi="Calibri"/>
          <w:color w:val="333333"/>
          <w:sz w:val="22"/>
          <w:szCs w:val="22"/>
        </w:rPr>
        <w:t xml:space="preserve">Hire, coach, and manage alumni relations staff and student workers, and staff the alumni association board.</w:t>
      </w:r>
    </w:p>
    <w:p>
      <w:pPr>
        <w:pStyle w:val="ListParagraph"/>
        <w:numPr>
          <w:ilvl w:val="0"/>
          <w:numId w:val="2"/>
        </w:numPr>
        <w:spacing w:after="90" w:line="300"/>
      </w:pPr>
      <w:r>
        <w:rPr>
          <w:rFonts w:ascii="Calibri" w:cs="Calibri" w:eastAsia="Calibri" w:hAnsi="Calibri"/>
          <w:color w:val="333333"/>
          <w:sz w:val="22"/>
          <w:szCs w:val="22"/>
        </w:rPr>
        <w:t xml:space="preserve">Partner with admissions on alumni referral and interview programs and with career services on alumni hiring networks.</w:t>
      </w:r>
    </w:p>
    <w:p>
      <w:pPr>
        <w:pStyle w:val="ListParagraph"/>
        <w:numPr>
          <w:ilvl w:val="0"/>
          <w:numId w:val="2"/>
        </w:numPr>
        <w:spacing w:after="90" w:line="300"/>
      </w:pPr>
      <w:r>
        <w:rPr>
          <w:rFonts w:ascii="Calibri" w:cs="Calibri" w:eastAsia="Calibri" w:hAnsi="Calibri"/>
          <w:color w:val="333333"/>
          <w:sz w:val="22"/>
          <w:szCs w:val="22"/>
        </w:rPr>
        <w:t xml:space="preserve">Represent the institution at alumni gatherings nationally, serving as a visible and trusted face of the alma mater.</w:t>
      </w:r>
    </w:p>
    <w:p>
      <w:pPr>
        <w:pStyle w:val="Heading1"/>
        <w:spacing w:after="140" w:before="320"/>
      </w:pPr>
      <w:r>
        <w:rPr>
          <w:rFonts w:ascii="Montserrat" w:cs="Montserrat" w:eastAsia="Montserrat" w:hAnsi="Montserrat"/>
          <w:b/>
          <w:bCs/>
          <w:color w:val="2E4D7B"/>
          <w:sz w:val="26"/>
          <w:szCs w:val="26"/>
        </w:rPr>
        <w:t xml:space="preserve">Qualifications</w:t>
      </w:r>
    </w:p>
    <w:p>
      <w:pPr>
        <w:pStyle w:val="ListParagraph"/>
        <w:numPr>
          <w:ilvl w:val="0"/>
          <w:numId w:val="2"/>
        </w:numPr>
        <w:spacing w:after="90" w:line="300"/>
      </w:pPr>
      <w:r>
        <w:rPr>
          <w:rFonts w:ascii="Calibri" w:cs="Calibri" w:eastAsia="Calibri" w:hAnsi="Calibri"/>
          <w:color w:val="333333"/>
          <w:sz w:val="22"/>
          <w:szCs w:val="22"/>
        </w:rPr>
        <w:t xml:space="preserve">Bachelor's degree required; a master's degree in higher education, communications, or nonprofit management is preferred.</w:t>
      </w:r>
    </w:p>
    <w:p>
      <w:pPr>
        <w:pStyle w:val="ListParagraph"/>
        <w:numPr>
          <w:ilvl w:val="0"/>
          <w:numId w:val="2"/>
        </w:numPr>
        <w:spacing w:after="90" w:line="300"/>
      </w:pPr>
      <w:r>
        <w:rPr>
          <w:rFonts w:ascii="Calibri" w:cs="Calibri" w:eastAsia="Calibri" w:hAnsi="Calibri"/>
          <w:color w:val="333333"/>
          <w:sz w:val="22"/>
          <w:szCs w:val="22"/>
        </w:rPr>
        <w:t xml:space="preserve">At least seven years of progressive experience in alumni relations, advancement, or constituent engagement, including staff management.</w:t>
      </w:r>
    </w:p>
    <w:p>
      <w:pPr>
        <w:pStyle w:val="ListParagraph"/>
        <w:numPr>
          <w:ilvl w:val="0"/>
          <w:numId w:val="2"/>
        </w:numPr>
        <w:spacing w:after="90" w:line="300"/>
      </w:pPr>
      <w:r>
        <w:rPr>
          <w:rFonts w:ascii="Calibri" w:cs="Calibri" w:eastAsia="Calibri" w:hAnsi="Calibri"/>
          <w:color w:val="333333"/>
          <w:sz w:val="22"/>
          <w:szCs w:val="22"/>
        </w:rPr>
        <w:t xml:space="preserve">A record of building engagement programs that grew participation, with events experience from intimate dinners to thousand-person reunions.</w:t>
      </w:r>
    </w:p>
    <w:p>
      <w:pPr>
        <w:pStyle w:val="ListParagraph"/>
        <w:numPr>
          <w:ilvl w:val="0"/>
          <w:numId w:val="2"/>
        </w:numPr>
        <w:spacing w:after="90" w:line="300"/>
      </w:pPr>
      <w:r>
        <w:rPr>
          <w:rFonts w:ascii="Calibri" w:cs="Calibri" w:eastAsia="Calibri" w:hAnsi="Calibri"/>
          <w:color w:val="333333"/>
          <w:sz w:val="22"/>
          <w:szCs w:val="22"/>
        </w:rPr>
        <w:t xml:space="preserve">Working command of advancement CRMs such as Raiser's Edge or Salesforce and of engagement scoring and reporting.</w:t>
      </w:r>
    </w:p>
    <w:p>
      <w:pPr>
        <w:pStyle w:val="Heading1"/>
        <w:spacing w:after="140" w:before="320"/>
      </w:pPr>
      <w:r>
        <w:rPr>
          <w:rFonts w:ascii="Montserrat" w:cs="Montserrat" w:eastAsia="Montserrat" w:hAnsi="Montserrat"/>
          <w:b/>
          <w:bCs/>
          <w:color w:val="2E4D7B"/>
          <w:sz w:val="26"/>
          <w:szCs w:val="26"/>
        </w:rPr>
        <w:t xml:space="preserve">Compensation and Benefits</w:t>
      </w:r>
    </w:p>
    <w:p>
      <w:pPr>
        <w:spacing w:after="140" w:line="300"/>
      </w:pPr>
      <w:r>
        <w:rPr>
          <w:rFonts w:ascii="Calibri" w:cs="Calibri" w:eastAsia="Calibri" w:hAnsi="Calibri"/>
          <w:color w:val="333333"/>
          <w:sz w:val="22"/>
          <w:szCs w:val="22"/>
        </w:rPr>
        <w:t xml:space="preserve">[Describe salary range, bonus or incentive structure, health and retirement benefits, paid time off, and any relocation assistance.]</w:t>
      </w:r>
    </w:p>
    <w:p>
      <w:pPr>
        <w:pStyle w:val="Heading1"/>
        <w:spacing w:after="140" w:before="320"/>
      </w:pPr>
      <w:r>
        <w:rPr>
          <w:rFonts w:ascii="Montserrat" w:cs="Montserrat" w:eastAsia="Montserrat" w:hAnsi="Montserrat"/>
          <w:b/>
          <w:bCs/>
          <w:color w:val="2E4D7B"/>
          <w:sz w:val="26"/>
          <w:szCs w:val="26"/>
        </w:rPr>
        <w:t xml:space="preserve">How to Apply</w:t>
      </w:r>
    </w:p>
    <w:p>
      <w:pPr>
        <w:spacing w:after="140" w:line="300"/>
      </w:pPr>
      <w:r>
        <w:rPr>
          <w:rFonts w:ascii="Calibri" w:cs="Calibri" w:eastAsia="Calibri" w:hAnsi="Calibri"/>
          <w:color w:val="333333"/>
          <w:sz w:val="22"/>
          <w:szCs w:val="22"/>
        </w:rPr>
        <w:t xml:space="preserve">[Provide application instructions, a contact email, or a link to your applicant portal.]</w:t>
      </w:r>
    </w:p>
    <w:p>
      <w:pPr>
        <w:pStyle w:val="Heading1"/>
        <w:spacing w:after="140" w:before="320"/>
      </w:pPr>
      <w:r>
        <w:rPr>
          <w:rFonts w:ascii="Montserrat" w:cs="Montserrat" w:eastAsia="Montserrat" w:hAnsi="Montserrat"/>
          <w:b/>
          <w:bCs/>
          <w:color w:val="2E4D7B"/>
          <w:sz w:val="26"/>
          <w:szCs w:val="26"/>
        </w:rPr>
        <w:t xml:space="preserve">Equal Employment Opportunity</w:t>
      </w:r>
    </w:p>
    <w:p>
      <w:pPr>
        <w:spacing w:after="140" w:line="300"/>
      </w:pPr>
      <w:r>
        <w:rPr>
          <w:rFonts w:ascii="Calibri" w:cs="Calibri" w:eastAsia="Calibri" w:hAnsi="Calibri"/>
          <w:color w:val="333333"/>
          <w:sz w:val="22"/>
          <w:szCs w:val="22"/>
        </w:rPr>
        <w:t xml:space="preserve">[Institution Name] is an equal opportunity employer. All qualified applicants will receive consideration for employment without regard to race, color, religion, sex, sexual orientation, gender identity, national origin, disability, or protected veteran status.</w:t>
      </w:r>
    </w:p>
    <w:p>
      <w:pPr>
        <w:pBdr>
          <w:top w:val="single" w:color="CCCCCC" w:sz="4" w:space="8"/>
        </w:pBdr>
        <w:spacing w:before="360"/>
      </w:pPr>
      <w:r>
        <w:rPr>
          <w:rFonts w:ascii="Calibri" w:cs="Calibri" w:eastAsia="Calibri" w:hAnsi="Calibri"/>
          <w:i/>
          <w:iCs/>
          <w:color w:val="666666"/>
          <w:sz w:val="18"/>
          <w:szCs w:val="18"/>
        </w:rPr>
        <w:t xml:space="preserve">Template by Excelon Associates. Hiring a Director of Alumni Relations? Our higher education practice recruits advancement and alumni leadership nationwide: excelonassociates.com</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2026-08-05T10:37:30.901Z</dcterms:created>
  <dcterms:modified xsi:type="dcterms:W3CDTF">2026-08-05T10:37:30.914Z</dcterms:modified>
</cp:coreProperties>
</file>

<file path=docProps/custom.xml><?xml version="1.0" encoding="utf-8"?>
<Properties xmlns="http://schemas.openxmlformats.org/officeDocument/2006/custom-properties" xmlns:vt="http://schemas.openxmlformats.org/officeDocument/2006/docPropsVTypes"/>
</file>