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Admissions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[VP of Enrollment / Campus President]</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Admissions owns the institution's admissions function from first inquiry through enrolled student. The role sets recruitment strategy, manages the admissions team and territory plans, oversees application review and admission decisions, and is accountable for hitting new student enrollment targets each term.</w:t>
      </w:r>
    </w:p>
    <w:p>
      <w:pPr>
        <w:spacing w:after="140" w:line="300"/>
      </w:pPr>
      <w:r>
        <w:rPr>
          <w:rFonts w:ascii="Calibri" w:cs="Calibri" w:eastAsia="Calibri" w:hAnsi="Calibri"/>
          <w:color w:val="333333"/>
          <w:sz w:val="22"/>
          <w:szCs w:val="22"/>
        </w:rPr>
        <w:t xml:space="preserve">The director also acts as the public face of admissions, representing the institution at recruitment events, partnering with marketing on lead generation, and working with financial aid and the registrar so admitted students actually start. It is a core leadership role within higher education enrollment management.</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Recruitment &amp; Pipeline</w:t>
      </w:r>
    </w:p>
    <w:p>
      <w:pPr>
        <w:pStyle w:val="ListParagraph"/>
        <w:numPr>
          <w:ilvl w:val="0"/>
          <w:numId w:val="2"/>
        </w:numPr>
        <w:spacing w:after="90" w:line="300"/>
      </w:pPr>
      <w:r>
        <w:rPr>
          <w:rFonts w:ascii="Calibri" w:cs="Calibri" w:eastAsia="Calibri" w:hAnsi="Calibri"/>
          <w:color w:val="333333"/>
          <w:sz w:val="22"/>
          <w:szCs w:val="22"/>
        </w:rPr>
        <w:t xml:space="preserve">Build and execute the annual recruitment plan across territories, feeder schools, transfer pathways, and partner organizations.</w:t>
      </w:r>
    </w:p>
    <w:p>
      <w:pPr>
        <w:pStyle w:val="ListParagraph"/>
        <w:numPr>
          <w:ilvl w:val="0"/>
          <w:numId w:val="2"/>
        </w:numPr>
        <w:spacing w:after="90" w:line="300"/>
      </w:pPr>
      <w:r>
        <w:rPr>
          <w:rFonts w:ascii="Calibri" w:cs="Calibri" w:eastAsia="Calibri" w:hAnsi="Calibri"/>
          <w:color w:val="333333"/>
          <w:sz w:val="22"/>
          <w:szCs w:val="22"/>
        </w:rPr>
        <w:t xml:space="preserve">Partner with marketing on lead generation and communication flows, ensuring every inquiry receives fast, personal follow-up.</w:t>
      </w:r>
    </w:p>
    <w:p>
      <w:pPr>
        <w:pStyle w:val="ListParagraph"/>
        <w:numPr>
          <w:ilvl w:val="0"/>
          <w:numId w:val="2"/>
        </w:numPr>
        <w:spacing w:after="90" w:line="300"/>
      </w:pPr>
      <w:r>
        <w:rPr>
          <w:rFonts w:ascii="Calibri" w:cs="Calibri" w:eastAsia="Calibri" w:hAnsi="Calibri"/>
          <w:color w:val="333333"/>
          <w:sz w:val="22"/>
          <w:szCs w:val="22"/>
        </w:rPr>
        <w:t xml:space="preserve">Represent the institution at fairs, school visits, and campus events, and coach the team to the same standard.</w:t>
      </w:r>
    </w:p>
    <w:p>
      <w:pPr>
        <w:spacing w:after="140" w:line="300"/>
      </w:pPr>
      <w:r>
        <w:rPr>
          <w:rFonts w:ascii="Calibri" w:cs="Calibri" w:eastAsia="Calibri" w:hAnsi="Calibri"/>
          <w:b/>
          <w:bCs/>
          <w:color w:val="2E4D7B"/>
          <w:sz w:val="22"/>
          <w:szCs w:val="22"/>
        </w:rPr>
        <w:t xml:space="preserve">Evaluation &amp; Yield</w:t>
      </w:r>
    </w:p>
    <w:p>
      <w:pPr>
        <w:pStyle w:val="ListParagraph"/>
        <w:numPr>
          <w:ilvl w:val="0"/>
          <w:numId w:val="2"/>
        </w:numPr>
        <w:spacing w:after="90" w:line="300"/>
      </w:pPr>
      <w:r>
        <w:rPr>
          <w:rFonts w:ascii="Calibri" w:cs="Calibri" w:eastAsia="Calibri" w:hAnsi="Calibri"/>
          <w:color w:val="333333"/>
          <w:sz w:val="22"/>
          <w:szCs w:val="22"/>
        </w:rPr>
        <w:t xml:space="preserve">Oversee application review and admission decisions, applying institutional policy consistently and documenting exceptions.</w:t>
      </w:r>
    </w:p>
    <w:p>
      <w:pPr>
        <w:pStyle w:val="ListParagraph"/>
        <w:numPr>
          <w:ilvl w:val="0"/>
          <w:numId w:val="2"/>
        </w:numPr>
        <w:spacing w:after="90" w:line="300"/>
      </w:pPr>
      <w:r>
        <w:rPr>
          <w:rFonts w:ascii="Calibri" w:cs="Calibri" w:eastAsia="Calibri" w:hAnsi="Calibri"/>
          <w:color w:val="333333"/>
          <w:sz w:val="22"/>
          <w:szCs w:val="22"/>
        </w:rPr>
        <w:t xml:space="preserve">Manage the admitted student experience from decision release through orientation to maximize admit-to-start yield.</w:t>
      </w:r>
    </w:p>
    <w:p>
      <w:pPr>
        <w:pStyle w:val="ListParagraph"/>
        <w:numPr>
          <w:ilvl w:val="0"/>
          <w:numId w:val="2"/>
        </w:numPr>
        <w:spacing w:after="90" w:line="300"/>
      </w:pPr>
      <w:r>
        <w:rPr>
          <w:rFonts w:ascii="Calibri" w:cs="Calibri" w:eastAsia="Calibri" w:hAnsi="Calibri"/>
          <w:color w:val="333333"/>
          <w:sz w:val="22"/>
          <w:szCs w:val="22"/>
        </w:rPr>
        <w:t xml:space="preserve">Coordinate with financial aid so packaging conversations happen early enough to influence enrollment decisions.</w:t>
      </w:r>
    </w:p>
    <w:p>
      <w:pPr>
        <w:spacing w:after="140" w:line="300"/>
      </w:pPr>
      <w:r>
        <w:rPr>
          <w:rFonts w:ascii="Calibri" w:cs="Calibri" w:eastAsia="Calibri" w:hAnsi="Calibri"/>
          <w:b/>
          <w:bCs/>
          <w:color w:val="2E4D7B"/>
          <w:sz w:val="22"/>
          <w:szCs w:val="22"/>
        </w:rPr>
        <w:t xml:space="preserve">Team &amp; Compliance</w:t>
      </w:r>
    </w:p>
    <w:p>
      <w:pPr>
        <w:pStyle w:val="ListParagraph"/>
        <w:numPr>
          <w:ilvl w:val="0"/>
          <w:numId w:val="2"/>
        </w:numPr>
        <w:spacing w:after="90" w:line="300"/>
      </w:pPr>
      <w:r>
        <w:rPr>
          <w:rFonts w:ascii="Calibri" w:cs="Calibri" w:eastAsia="Calibri" w:hAnsi="Calibri"/>
          <w:color w:val="333333"/>
          <w:sz w:val="22"/>
          <w:szCs w:val="22"/>
        </w:rPr>
        <w:t xml:space="preserve">Hire, train, and manage admissions counselors and representatives, setting activity standards and coaching to conversion outcomes.</w:t>
      </w:r>
    </w:p>
    <w:p>
      <w:pPr>
        <w:pStyle w:val="ListParagraph"/>
        <w:numPr>
          <w:ilvl w:val="0"/>
          <w:numId w:val="2"/>
        </w:numPr>
        <w:spacing w:after="90" w:line="300"/>
      </w:pPr>
      <w:r>
        <w:rPr>
          <w:rFonts w:ascii="Calibri" w:cs="Calibri" w:eastAsia="Calibri" w:hAnsi="Calibri"/>
          <w:color w:val="333333"/>
          <w:sz w:val="22"/>
          <w:szCs w:val="22"/>
        </w:rPr>
        <w:t xml:space="preserve">Maintain full compliance with institutional policy and the regulations governing recruitment and admissions in your sector.</w:t>
      </w:r>
    </w:p>
    <w:p>
      <w:pPr>
        <w:pStyle w:val="ListParagraph"/>
        <w:numPr>
          <w:ilvl w:val="0"/>
          <w:numId w:val="2"/>
        </w:numPr>
        <w:spacing w:after="90" w:line="300"/>
      </w:pPr>
      <w:r>
        <w:rPr>
          <w:rFonts w:ascii="Calibri" w:cs="Calibri" w:eastAsia="Calibri" w:hAnsi="Calibri"/>
          <w:color w:val="333333"/>
          <w:sz w:val="22"/>
          <w:szCs w:val="22"/>
        </w:rPr>
        <w:t xml:space="preserve">Report funnel performance to enrollment leadership weekly, with honest forecasts rather than optimistic ones.</w:t>
      </w:r>
    </w:p>
    <w:p>
      <w:pPr>
        <w:pStyle w:val="Heading1"/>
        <w:spacing w:after="140" w:before="320"/>
      </w:pPr>
      <w:r>
        <w:rPr>
          <w:rFonts w:ascii="Montserrat" w:cs="Montserrat" w:eastAsia="Montserrat" w:hAnsi="Montserrat"/>
          <w:b/>
          <w:bCs/>
          <w:color w:val="2E4D7B"/>
          <w:sz w:val="26"/>
          <w:szCs w:val="26"/>
        </w:rPr>
        <w:t xml:space="preserve">Qualifications</w:t>
      </w:r>
    </w:p>
    <w:p>
      <w:pPr>
        <w:pStyle w:val="ListParagraph"/>
        <w:numPr>
          <w:ilvl w:val="0"/>
          <w:numId w:val="2"/>
        </w:numPr>
        <w:spacing w:after="90" w:line="300"/>
      </w:pPr>
      <w:r>
        <w:rPr>
          <w:rFonts w:ascii="Calibri" w:cs="Calibri" w:eastAsia="Calibri" w:hAnsi="Calibri"/>
          <w:color w:val="333333"/>
          <w:sz w:val="22"/>
          <w:szCs w:val="22"/>
        </w:rPr>
        <w:t xml:space="preserve">Bachelor's degree required; a master's degree in higher education administration, counseling, or a related field is preferred.</w:t>
      </w:r>
    </w:p>
    <w:p>
      <w:pPr>
        <w:pStyle w:val="ListParagraph"/>
        <w:numPr>
          <w:ilvl w:val="0"/>
          <w:numId w:val="2"/>
        </w:numPr>
        <w:spacing w:after="90" w:line="300"/>
      </w:pPr>
      <w:r>
        <w:rPr>
          <w:rFonts w:ascii="Calibri" w:cs="Calibri" w:eastAsia="Calibri" w:hAnsi="Calibri"/>
          <w:color w:val="333333"/>
          <w:sz w:val="22"/>
          <w:szCs w:val="22"/>
        </w:rPr>
        <w:t xml:space="preserve">At least seven years of progressive admissions experience, including several years managing admissions staff and owning enrollment targets.</w:t>
      </w:r>
    </w:p>
    <w:p>
      <w:pPr>
        <w:pStyle w:val="ListParagraph"/>
        <w:numPr>
          <w:ilvl w:val="0"/>
          <w:numId w:val="2"/>
        </w:numPr>
        <w:spacing w:after="90" w:line="300"/>
      </w:pPr>
      <w:r>
        <w:rPr>
          <w:rFonts w:ascii="Calibri" w:cs="Calibri" w:eastAsia="Calibri" w:hAnsi="Calibri"/>
          <w:color w:val="333333"/>
          <w:sz w:val="22"/>
          <w:szCs w:val="22"/>
        </w:rPr>
        <w:t xml:space="preserve">Documented success hitting new student enrollment goals across multiple cycles, with command of funnel metrics and conversion math.</w:t>
      </w:r>
    </w:p>
    <w:p>
      <w:pPr>
        <w:pStyle w:val="ListParagraph"/>
        <w:numPr>
          <w:ilvl w:val="0"/>
          <w:numId w:val="2"/>
        </w:numPr>
        <w:spacing w:after="90" w:line="300"/>
      </w:pPr>
      <w:r>
        <w:rPr>
          <w:rFonts w:ascii="Calibri" w:cs="Calibri" w:eastAsia="Calibri" w:hAnsi="Calibri"/>
          <w:color w:val="333333"/>
          <w:sz w:val="22"/>
          <w:szCs w:val="22"/>
        </w:rPr>
        <w:t xml:space="preserve">Working knowledge of admissions CRMs such as Slate or Salesforce, and of the compliance rules governing recruitment in your sector.</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Admissions? Our higher education practice recruits admissions and enrollment leadership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