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of International Education</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International Education oversees all aspects of the university's international education programs, including study abroad, international student services, and global partnerships. Reporting to the Provost, the Dean shapes and implements a vision for international education that aligns with the institution's mission, fosters cross-cultural understanding, and advances the university's global presence.</w:t>
      </w:r>
    </w:p>
    <w:p>
      <w:pPr>
        <w:spacing w:after="140" w:line="300"/>
      </w:pPr>
      <w:r>
        <w:rPr>
          <w:rFonts w:ascii="Calibri" w:cs="Calibri" w:eastAsia="Calibri" w:hAnsi="Calibri"/>
          <w:color w:val="333333"/>
          <w:sz w:val="22"/>
          <w:szCs w:val="22"/>
        </w:rPr>
        <w:t xml:space="preserve">It is a senior leadership role within the higher education sector, integrating global perspectives across academic and co-curricular offerings.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Program Oversight</w:t>
      </w:r>
    </w:p>
    <w:p>
      <w:pPr>
        <w:pStyle w:val="ListParagraph"/>
        <w:numPr>
          <w:ilvl w:val="0"/>
          <w:numId w:val="2"/>
        </w:numPr>
        <w:spacing w:after="90" w:line="300"/>
      </w:pPr>
      <w:r>
        <w:rPr>
          <w:rFonts w:ascii="Calibri" w:cs="Calibri" w:eastAsia="Calibri" w:hAnsi="Calibri"/>
          <w:color w:val="333333"/>
          <w:sz w:val="22"/>
          <w:szCs w:val="22"/>
        </w:rPr>
        <w:t xml:space="preserve">Develop and implement a comprehensive strategy for international education, integrating global perspectives across the university's academic and co-curricular offerings.</w:t>
      </w:r>
    </w:p>
    <w:p>
      <w:pPr>
        <w:pStyle w:val="ListParagraph"/>
        <w:numPr>
          <w:ilvl w:val="0"/>
          <w:numId w:val="2"/>
        </w:numPr>
        <w:spacing w:after="90" w:line="300"/>
      </w:pPr>
      <w:r>
        <w:rPr>
          <w:rFonts w:ascii="Calibri" w:cs="Calibri" w:eastAsia="Calibri" w:hAnsi="Calibri"/>
          <w:color w:val="333333"/>
          <w:sz w:val="22"/>
          <w:szCs w:val="22"/>
        </w:rPr>
        <w:t xml:space="preserve">Provide leadership for study abroad programs, exchange agreements, and international student services, ensuring quality and compliance.</w:t>
      </w:r>
    </w:p>
    <w:p>
      <w:pPr>
        <w:spacing w:after="140" w:line="300"/>
      </w:pPr>
      <w:r>
        <w:rPr>
          <w:rFonts w:ascii="Calibri" w:cs="Calibri" w:eastAsia="Calibri" w:hAnsi="Calibri"/>
          <w:b/>
          <w:bCs/>
          <w:color w:val="2E4D7B"/>
          <w:sz w:val="22"/>
          <w:szCs w:val="22"/>
        </w:rPr>
        <w:t xml:space="preserve">Partnerships &amp; Student Support</w:t>
      </w:r>
    </w:p>
    <w:p>
      <w:pPr>
        <w:pStyle w:val="ListParagraph"/>
        <w:numPr>
          <w:ilvl w:val="0"/>
          <w:numId w:val="2"/>
        </w:numPr>
        <w:spacing w:after="90" w:line="300"/>
      </w:pPr>
      <w:r>
        <w:rPr>
          <w:rFonts w:ascii="Calibri" w:cs="Calibri" w:eastAsia="Calibri" w:hAnsi="Calibri"/>
          <w:color w:val="333333"/>
          <w:sz w:val="22"/>
          <w:szCs w:val="22"/>
        </w:rPr>
        <w:t xml:space="preserve">Build and sustain relationships with international universities, government agencies, and other organizations to enhance global partnerships and expand opportunities for students and faculty.</w:t>
      </w:r>
    </w:p>
    <w:p>
      <w:pPr>
        <w:pStyle w:val="ListParagraph"/>
        <w:numPr>
          <w:ilvl w:val="0"/>
          <w:numId w:val="2"/>
        </w:numPr>
        <w:spacing w:after="90" w:line="300"/>
      </w:pPr>
      <w:r>
        <w:rPr>
          <w:rFonts w:ascii="Calibri" w:cs="Calibri" w:eastAsia="Calibri" w:hAnsi="Calibri"/>
          <w:color w:val="333333"/>
          <w:sz w:val="22"/>
          <w:szCs w:val="22"/>
        </w:rPr>
        <w:t xml:space="preserve">Oversee services that support international student success, including visa processes, cultural orientation, and academic advising.</w:t>
      </w:r>
    </w:p>
    <w:p>
      <w:pPr>
        <w:pStyle w:val="ListParagraph"/>
        <w:numPr>
          <w:ilvl w:val="0"/>
          <w:numId w:val="2"/>
        </w:numPr>
        <w:spacing w:after="90" w:line="300"/>
      </w:pPr>
      <w:r>
        <w:rPr>
          <w:rFonts w:ascii="Calibri" w:cs="Calibri" w:eastAsia="Calibri" w:hAnsi="Calibri"/>
          <w:color w:val="333333"/>
          <w:sz w:val="22"/>
          <w:szCs w:val="22"/>
        </w:rPr>
        <w:t xml:space="preserve">Promote faculty and staff engagement in international education through professional development and curriculum innovation.</w:t>
      </w:r>
    </w:p>
    <w:p>
      <w:pPr>
        <w:spacing w:after="140" w:line="300"/>
      </w:pPr>
      <w:r>
        <w:rPr>
          <w:rFonts w:ascii="Calibri" w:cs="Calibri" w:eastAsia="Calibri" w:hAnsi="Calibri"/>
          <w:b/>
          <w:bCs/>
          <w:color w:val="2E4D7B"/>
          <w:sz w:val="22"/>
          <w:szCs w:val="22"/>
        </w:rPr>
        <w:t xml:space="preserve">Budget &amp; Representation</w:t>
      </w:r>
    </w:p>
    <w:p>
      <w:pPr>
        <w:pStyle w:val="ListParagraph"/>
        <w:numPr>
          <w:ilvl w:val="0"/>
          <w:numId w:val="2"/>
        </w:numPr>
        <w:spacing w:after="90" w:line="300"/>
      </w:pPr>
      <w:r>
        <w:rPr>
          <w:rFonts w:ascii="Calibri" w:cs="Calibri" w:eastAsia="Calibri" w:hAnsi="Calibri"/>
          <w:color w:val="333333"/>
          <w:sz w:val="22"/>
          <w:szCs w:val="22"/>
        </w:rPr>
        <w:t xml:space="preserve">Manage the budget for international education initiatives, ensuring efficient allocation of resources and compliance with institutional and regulatory requirements.</w:t>
      </w:r>
    </w:p>
    <w:p>
      <w:pPr>
        <w:pStyle w:val="ListParagraph"/>
        <w:numPr>
          <w:ilvl w:val="0"/>
          <w:numId w:val="2"/>
        </w:numPr>
        <w:spacing w:after="90" w:line="300"/>
      </w:pPr>
      <w:r>
        <w:rPr>
          <w:rFonts w:ascii="Calibri" w:cs="Calibri" w:eastAsia="Calibri" w:hAnsi="Calibri"/>
          <w:color w:val="333333"/>
          <w:sz w:val="22"/>
          <w:szCs w:val="22"/>
        </w:rPr>
        <w:t xml:space="preserve">Represent the university's interests in global education at conferences, consortia, and other external forums.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Master's degree in a relevant field required; a doctoral degree is strongly preferred.</w:t>
      </w:r>
    </w:p>
    <w:p>
      <w:pPr>
        <w:pStyle w:val="ListParagraph"/>
        <w:numPr>
          <w:ilvl w:val="0"/>
          <w:numId w:val="2"/>
        </w:numPr>
        <w:spacing w:after="90" w:line="300"/>
      </w:pPr>
      <w:r>
        <w:rPr>
          <w:rFonts w:ascii="Calibri" w:cs="Calibri" w:eastAsia="Calibri" w:hAnsi="Calibri"/>
          <w:color w:val="333333"/>
          <w:sz w:val="22"/>
          <w:szCs w:val="22"/>
        </w:rPr>
        <w:t xml:space="preserve">Minimum of seven to ten years of progressive leadership experience in international education or a closely related area.</w:t>
      </w:r>
    </w:p>
    <w:p>
      <w:pPr>
        <w:spacing w:after="140" w:line="300"/>
      </w:pPr>
      <w:r>
        <w:rPr>
          <w:rFonts w:ascii="Calibri" w:cs="Calibri" w:eastAsia="Calibri" w:hAnsi="Calibri"/>
          <w:b/>
          <w:bCs/>
          <w:color w:val="2E4D7B"/>
          <w:sz w:val="22"/>
          <w:szCs w:val="22"/>
        </w:rPr>
        <w:t xml:space="preserve">Knowledge, Skills &amp; Abilities</w:t>
      </w:r>
    </w:p>
    <w:p>
      <w:pPr>
        <w:pStyle w:val="ListParagraph"/>
        <w:numPr>
          <w:ilvl w:val="0"/>
          <w:numId w:val="2"/>
        </w:numPr>
        <w:spacing w:after="90" w:line="300"/>
      </w:pPr>
      <w:r>
        <w:rPr>
          <w:rFonts w:ascii="Calibri" w:cs="Calibri" w:eastAsia="Calibri" w:hAnsi="Calibri"/>
          <w:color w:val="333333"/>
          <w:sz w:val="22"/>
          <w:szCs w:val="22"/>
        </w:rPr>
        <w:t xml:space="preserve">Demonstrated expertise in global program development, cross-cultural competency, and international student support.</w:t>
      </w:r>
    </w:p>
    <w:p>
      <w:pPr>
        <w:pStyle w:val="ListParagraph"/>
        <w:numPr>
          <w:ilvl w:val="0"/>
          <w:numId w:val="2"/>
        </w:numPr>
        <w:spacing w:after="90" w:line="300"/>
      </w:pPr>
      <w:r>
        <w:rPr>
          <w:rFonts w:ascii="Calibri" w:cs="Calibri" w:eastAsia="Calibri" w:hAnsi="Calibri"/>
          <w:color w:val="333333"/>
          <w:sz w:val="22"/>
          <w:szCs w:val="22"/>
        </w:rPr>
        <w:t xml:space="preserve">Strong knowledge of regulatory requirements related to international students and study abroad, including SEVIS compliance.</w:t>
      </w:r>
    </w:p>
    <w:p>
      <w:pPr>
        <w:pStyle w:val="ListParagraph"/>
        <w:numPr>
          <w:ilvl w:val="0"/>
          <w:numId w:val="2"/>
        </w:numPr>
        <w:spacing w:after="90" w:line="300"/>
      </w:pPr>
      <w:r>
        <w:rPr>
          <w:rFonts w:ascii="Calibri" w:cs="Calibri" w:eastAsia="Calibri" w:hAnsi="Calibri"/>
          <w:color w:val="333333"/>
          <w:sz w:val="22"/>
          <w:szCs w:val="22"/>
        </w:rPr>
        <w:t xml:space="preserve">Exceptional leadership and communication skills, budget management experience, and ideally fluency in one or more additional languages.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of International Education?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