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Dean of Academics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Dean of Academics holds a unique place in the continuum of academic administrators, serving as the facilitating link between academic leadership and university administration. All activities of the role are undertaken in the light of furthering the best interests of students, from academic policy and curriculum quality to the supervision and development of school deans and general education faculty.</w:t>
      </w:r>
    </w:p>
    <w:p>
      <w:pPr>
        <w:spacing w:after="140" w:line="300"/>
      </w:pPr>
      <w:r>
        <w:rPr>
          <w:rFonts w:ascii="Calibri" w:cs="Calibri" w:eastAsia="Calibri" w:hAnsi="Calibri"/>
          <w:color w:val="333333"/>
          <w:sz w:val="22"/>
          <w:szCs w:val="22"/>
        </w:rPr>
        <w:t xml:space="preserve">The role manages and revises academic policies and programs in cooperation with the President, COO, and school deans, and leads accreditation and compliance efforts. It is a senior academic administration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Academic Policy &amp; Quality</w:t>
      </w:r>
    </w:p>
    <w:p>
      <w:pPr>
        <w:pStyle w:val="ListParagraph"/>
        <w:numPr>
          <w:ilvl w:val="0"/>
          <w:numId w:val="2"/>
        </w:numPr>
        <w:spacing w:after="90" w:line="300"/>
      </w:pPr>
      <w:r>
        <w:rPr>
          <w:rFonts w:ascii="Calibri" w:cs="Calibri" w:eastAsia="Calibri" w:hAnsi="Calibri"/>
          <w:color w:val="333333"/>
          <w:sz w:val="22"/>
          <w:szCs w:val="22"/>
        </w:rPr>
        <w:t xml:space="preserve">Manage and revise academic policies and programs in cooperation with the President, COO, and school deans.</w:t>
      </w:r>
    </w:p>
    <w:p>
      <w:pPr>
        <w:pStyle w:val="ListParagraph"/>
        <w:numPr>
          <w:ilvl w:val="0"/>
          <w:numId w:val="2"/>
        </w:numPr>
        <w:spacing w:after="90" w:line="300"/>
      </w:pPr>
      <w:r>
        <w:rPr>
          <w:rFonts w:ascii="Calibri" w:cs="Calibri" w:eastAsia="Calibri" w:hAnsi="Calibri"/>
          <w:color w:val="333333"/>
          <w:sz w:val="22"/>
          <w:szCs w:val="22"/>
        </w:rPr>
        <w:t xml:space="preserve">Provide senior-level academic oversight and quality control over the development of curricula, instructional resources, and academic processes.</w:t>
      </w:r>
    </w:p>
    <w:p>
      <w:pPr>
        <w:pStyle w:val="ListParagraph"/>
        <w:numPr>
          <w:ilvl w:val="0"/>
          <w:numId w:val="2"/>
        </w:numPr>
        <w:spacing w:after="90" w:line="300"/>
      </w:pPr>
      <w:r>
        <w:rPr>
          <w:rFonts w:ascii="Calibri" w:cs="Calibri" w:eastAsia="Calibri" w:hAnsi="Calibri"/>
          <w:color w:val="333333"/>
          <w:sz w:val="22"/>
          <w:szCs w:val="22"/>
        </w:rPr>
        <w:t xml:space="preserve">Provide academic oversight, with the collaboration of deans, to institutional enrollment and retention management efforts.</w:t>
      </w:r>
    </w:p>
    <w:p>
      <w:pPr>
        <w:spacing w:after="140" w:line="300"/>
      </w:pPr>
      <w:r>
        <w:rPr>
          <w:rFonts w:ascii="Calibri" w:cs="Calibri" w:eastAsia="Calibri" w:hAnsi="Calibri"/>
          <w:b/>
          <w:bCs/>
          <w:color w:val="2E4D7B"/>
          <w:sz w:val="22"/>
          <w:szCs w:val="22"/>
        </w:rPr>
        <w:t xml:space="preserve">Faculty &amp; Dean Development</w:t>
      </w:r>
    </w:p>
    <w:p>
      <w:pPr>
        <w:pStyle w:val="ListParagraph"/>
        <w:numPr>
          <w:ilvl w:val="0"/>
          <w:numId w:val="2"/>
        </w:numPr>
        <w:spacing w:after="90" w:line="300"/>
      </w:pPr>
      <w:r>
        <w:rPr>
          <w:rFonts w:ascii="Calibri" w:cs="Calibri" w:eastAsia="Calibri" w:hAnsi="Calibri"/>
          <w:color w:val="333333"/>
          <w:sz w:val="22"/>
          <w:szCs w:val="22"/>
        </w:rPr>
        <w:t xml:space="preserve">Facilitate the training of school deans in institutional policies and procedures, and oversee their evaluation, training, professional development, and management of their program directors.</w:t>
      </w:r>
    </w:p>
    <w:p>
      <w:pPr>
        <w:pStyle w:val="ListParagraph"/>
        <w:numPr>
          <w:ilvl w:val="0"/>
          <w:numId w:val="2"/>
        </w:numPr>
        <w:spacing w:after="90" w:line="300"/>
      </w:pPr>
      <w:r>
        <w:rPr>
          <w:rFonts w:ascii="Calibri" w:cs="Calibri" w:eastAsia="Calibri" w:hAnsi="Calibri"/>
          <w:color w:val="333333"/>
          <w:sz w:val="22"/>
          <w:szCs w:val="22"/>
        </w:rPr>
        <w:t xml:space="preserve">Oversee general education faculty evaluation, training, and professional development, and provide a mentoring environment to school deans and faculty.</w:t>
      </w:r>
    </w:p>
    <w:p>
      <w:pPr>
        <w:pStyle w:val="ListParagraph"/>
        <w:numPr>
          <w:ilvl w:val="0"/>
          <w:numId w:val="2"/>
        </w:numPr>
        <w:spacing w:after="90" w:line="300"/>
      </w:pPr>
      <w:r>
        <w:rPr>
          <w:rFonts w:ascii="Calibri" w:cs="Calibri" w:eastAsia="Calibri" w:hAnsi="Calibri"/>
          <w:color w:val="333333"/>
          <w:sz w:val="22"/>
          <w:szCs w:val="22"/>
        </w:rPr>
        <w:t xml:space="preserve">Perform annual performance evaluations and classroom observations of school deans who teach and of general education faculty.</w:t>
      </w:r>
    </w:p>
    <w:p>
      <w:pPr>
        <w:spacing w:after="140" w:line="300"/>
      </w:pPr>
      <w:r>
        <w:rPr>
          <w:rFonts w:ascii="Calibri" w:cs="Calibri" w:eastAsia="Calibri" w:hAnsi="Calibri"/>
          <w:b/>
          <w:bCs/>
          <w:color w:val="2E4D7B"/>
          <w:sz w:val="22"/>
          <w:szCs w:val="22"/>
        </w:rPr>
        <w:t xml:space="preserve">Governance &amp; Accreditation</w:t>
      </w:r>
    </w:p>
    <w:p>
      <w:pPr>
        <w:pStyle w:val="ListParagraph"/>
        <w:numPr>
          <w:ilvl w:val="0"/>
          <w:numId w:val="2"/>
        </w:numPr>
        <w:spacing w:after="90" w:line="300"/>
      </w:pPr>
      <w:r>
        <w:rPr>
          <w:rFonts w:ascii="Calibri" w:cs="Calibri" w:eastAsia="Calibri" w:hAnsi="Calibri"/>
          <w:color w:val="333333"/>
          <w:sz w:val="22"/>
          <w:szCs w:val="22"/>
        </w:rPr>
        <w:t xml:space="preserve">Serve as a member of the Management Team and chair the Academic Advisory Committee.</w:t>
      </w:r>
    </w:p>
    <w:p>
      <w:pPr>
        <w:pStyle w:val="ListParagraph"/>
        <w:numPr>
          <w:ilvl w:val="0"/>
          <w:numId w:val="2"/>
        </w:numPr>
        <w:spacing w:after="90" w:line="300"/>
      </w:pPr>
      <w:r>
        <w:rPr>
          <w:rFonts w:ascii="Calibri" w:cs="Calibri" w:eastAsia="Calibri" w:hAnsi="Calibri"/>
          <w:color w:val="333333"/>
          <w:sz w:val="22"/>
          <w:szCs w:val="22"/>
        </w:rPr>
        <w:t xml:space="preserve">Supervise the process to plan, schedule, and coordinate academic and administrative support in preparation for periodic program reviews, campus visits, and self-studies.</w:t>
      </w:r>
    </w:p>
    <w:p>
      <w:pPr>
        <w:pStyle w:val="ListParagraph"/>
        <w:numPr>
          <w:ilvl w:val="0"/>
          <w:numId w:val="2"/>
        </w:numPr>
        <w:spacing w:after="90" w:line="300"/>
      </w:pPr>
      <w:r>
        <w:rPr>
          <w:rFonts w:ascii="Calibri" w:cs="Calibri" w:eastAsia="Calibri" w:hAnsi="Calibri"/>
          <w:color w:val="333333"/>
          <w:sz w:val="22"/>
          <w:szCs w:val="22"/>
        </w:rPr>
        <w:t xml:space="preserve">Interface with individual departments to follow up on tasks and projects related to accreditation and compliance.</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Doctoral degree required.</w:t>
      </w:r>
    </w:p>
    <w:p>
      <w:pPr>
        <w:pStyle w:val="ListParagraph"/>
        <w:numPr>
          <w:ilvl w:val="0"/>
          <w:numId w:val="2"/>
        </w:numPr>
        <w:spacing w:after="90" w:line="300"/>
      </w:pPr>
      <w:r>
        <w:rPr>
          <w:rFonts w:ascii="Calibri" w:cs="Calibri" w:eastAsia="Calibri" w:hAnsi="Calibri"/>
          <w:color w:val="333333"/>
          <w:sz w:val="22"/>
          <w:szCs w:val="22"/>
        </w:rPr>
        <w:t xml:space="preserve">Minimum of three years of academic leadership experience.</w:t>
      </w:r>
    </w:p>
    <w:p>
      <w:pPr>
        <w:spacing w:after="140" w:line="300"/>
      </w:pPr>
      <w:r>
        <w:rPr>
          <w:rFonts w:ascii="Calibri" w:cs="Calibri" w:eastAsia="Calibri" w:hAnsi="Calibri"/>
          <w:b/>
          <w:bCs/>
          <w:color w:val="2E4D7B"/>
          <w:sz w:val="22"/>
          <w:szCs w:val="22"/>
        </w:rPr>
        <w:t xml:space="preserve">Skills &amp; Knowledge</w:t>
      </w:r>
    </w:p>
    <w:p>
      <w:pPr>
        <w:pStyle w:val="ListParagraph"/>
        <w:numPr>
          <w:ilvl w:val="0"/>
          <w:numId w:val="2"/>
        </w:numPr>
        <w:spacing w:after="90" w:line="300"/>
      </w:pPr>
      <w:r>
        <w:rPr>
          <w:rFonts w:ascii="Calibri" w:cs="Calibri" w:eastAsia="Calibri" w:hAnsi="Calibri"/>
          <w:color w:val="333333"/>
          <w:sz w:val="22"/>
          <w:szCs w:val="22"/>
        </w:rPr>
        <w:t xml:space="preserve">Understanding of online and campus-based pedagogies, and use of adult learning theory in administering programs that lead to student success.</w:t>
      </w:r>
    </w:p>
    <w:p>
      <w:pPr>
        <w:pStyle w:val="ListParagraph"/>
        <w:numPr>
          <w:ilvl w:val="0"/>
          <w:numId w:val="2"/>
        </w:numPr>
        <w:spacing w:after="90" w:line="300"/>
      </w:pPr>
      <w:r>
        <w:rPr>
          <w:rFonts w:ascii="Calibri" w:cs="Calibri" w:eastAsia="Calibri" w:hAnsi="Calibri"/>
          <w:color w:val="333333"/>
          <w:sz w:val="22"/>
          <w:szCs w:val="22"/>
        </w:rPr>
        <w:t xml:space="preserve">Proficiency in institutional accreditor and federal and state regulatory requirements as they affect university academics, with experience in document resource management, filing, and tracking systems.</w:t>
      </w:r>
    </w:p>
    <w:p>
      <w:pPr>
        <w:pStyle w:val="ListParagraph"/>
        <w:numPr>
          <w:ilvl w:val="0"/>
          <w:numId w:val="2"/>
        </w:numPr>
        <w:spacing w:after="90" w:line="300"/>
      </w:pPr>
      <w:r>
        <w:rPr>
          <w:rFonts w:ascii="Calibri" w:cs="Calibri" w:eastAsia="Calibri" w:hAnsi="Calibri"/>
          <w:color w:val="333333"/>
          <w:sz w:val="22"/>
          <w:szCs w:val="22"/>
        </w:rPr>
        <w:t xml:space="preserve">Strong analytical, interpersonal, and communication skills, with the ability to interpret policy, prioritize multiple tasks, produce reports under strict guidelines, and exercise sound discretion.</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Dean of Academics?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