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Dean, College of Nursing</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Dean of the College of Nursing drives the college's academic, research, and clinical activities. The role upholds accreditation standards, bolsters the college's reputation, and drives growth in scholarship, providing the leadership needed to navigate the challenges of universities in a complex education landscape. Reporting to the Provost and Vice Chancellor of Academic Affairs, the Dean provides strategic and academic leadership for the college.</w:t>
      </w:r>
    </w:p>
    <w:p>
      <w:pPr>
        <w:spacing w:after="140" w:line="300"/>
      </w:pPr>
      <w:r>
        <w:rPr>
          <w:rFonts w:ascii="Calibri" w:cs="Calibri" w:eastAsia="Calibri" w:hAnsi="Calibri"/>
          <w:color w:val="333333"/>
          <w:sz w:val="22"/>
          <w:szCs w:val="22"/>
        </w:rPr>
        <w:t xml:space="preserve">It is a senior academic leadership role at the intersection of higher education and healthcare.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Strategic &amp; Academic Leadership</w:t>
      </w:r>
    </w:p>
    <w:p>
      <w:pPr>
        <w:pStyle w:val="ListParagraph"/>
        <w:numPr>
          <w:ilvl w:val="0"/>
          <w:numId w:val="2"/>
        </w:numPr>
        <w:spacing w:after="90" w:line="300"/>
      </w:pPr>
      <w:r>
        <w:rPr>
          <w:rFonts w:ascii="Calibri" w:cs="Calibri" w:eastAsia="Calibri" w:hAnsi="Calibri"/>
          <w:color w:val="333333"/>
          <w:sz w:val="22"/>
          <w:szCs w:val="22"/>
        </w:rPr>
        <w:t xml:space="preserve">Advance the college's mission of learning, discovery, and engagement, working with faculty, staff, students, donors, alumni, and leaders to establish a new vision and direction.</w:t>
      </w:r>
    </w:p>
    <w:p>
      <w:pPr>
        <w:pStyle w:val="ListParagraph"/>
        <w:numPr>
          <w:ilvl w:val="0"/>
          <w:numId w:val="2"/>
        </w:numPr>
        <w:spacing w:after="90" w:line="300"/>
      </w:pPr>
      <w:r>
        <w:rPr>
          <w:rFonts w:ascii="Calibri" w:cs="Calibri" w:eastAsia="Calibri" w:hAnsi="Calibri"/>
          <w:color w:val="333333"/>
          <w:sz w:val="22"/>
          <w:szCs w:val="22"/>
        </w:rPr>
        <w:t xml:space="preserve">Uphold and maintain accreditation standards while driving growth in scholarship.</w:t>
      </w:r>
    </w:p>
    <w:p>
      <w:pPr>
        <w:pStyle w:val="ListParagraph"/>
        <w:numPr>
          <w:ilvl w:val="0"/>
          <w:numId w:val="2"/>
        </w:numPr>
        <w:spacing w:after="90" w:line="300"/>
      </w:pPr>
      <w:r>
        <w:rPr>
          <w:rFonts w:ascii="Calibri" w:cs="Calibri" w:eastAsia="Calibri" w:hAnsi="Calibri"/>
          <w:color w:val="333333"/>
          <w:sz w:val="22"/>
          <w:szCs w:val="22"/>
        </w:rPr>
        <w:t xml:space="preserve">Participate actively in program development, curricular enhancement, budget planning, and assessment of student learning.</w:t>
      </w:r>
    </w:p>
    <w:p>
      <w:pPr>
        <w:spacing w:after="140" w:line="300"/>
      </w:pPr>
      <w:r>
        <w:rPr>
          <w:rFonts w:ascii="Calibri" w:cs="Calibri" w:eastAsia="Calibri" w:hAnsi="Calibri"/>
          <w:b/>
          <w:bCs/>
          <w:color w:val="2E4D7B"/>
          <w:sz w:val="22"/>
          <w:szCs w:val="22"/>
        </w:rPr>
        <w:t xml:space="preserve">Students, Research &amp; Innovation</w:t>
      </w:r>
    </w:p>
    <w:p>
      <w:pPr>
        <w:pStyle w:val="ListParagraph"/>
        <w:numPr>
          <w:ilvl w:val="0"/>
          <w:numId w:val="2"/>
        </w:numPr>
        <w:spacing w:after="90" w:line="300"/>
      </w:pPr>
      <w:r>
        <w:rPr>
          <w:rFonts w:ascii="Calibri" w:cs="Calibri" w:eastAsia="Calibri" w:hAnsi="Calibri"/>
          <w:color w:val="333333"/>
          <w:sz w:val="22"/>
          <w:szCs w:val="22"/>
        </w:rPr>
        <w:t xml:space="preserve">Advance student success by ensuring focus on academic, personal, and career dimensions.</w:t>
      </w:r>
    </w:p>
    <w:p>
      <w:pPr>
        <w:pStyle w:val="ListParagraph"/>
        <w:numPr>
          <w:ilvl w:val="0"/>
          <w:numId w:val="2"/>
        </w:numPr>
        <w:spacing w:after="90" w:line="300"/>
      </w:pPr>
      <w:r>
        <w:rPr>
          <w:rFonts w:ascii="Calibri" w:cs="Calibri" w:eastAsia="Calibri" w:hAnsi="Calibri"/>
          <w:color w:val="333333"/>
          <w:sz w:val="22"/>
          <w:szCs w:val="22"/>
        </w:rPr>
        <w:t xml:space="preserve">Foster an environment that encourages educational innovation and high expectations in teaching, service, and research.</w:t>
      </w:r>
    </w:p>
    <w:p>
      <w:pPr>
        <w:pStyle w:val="ListParagraph"/>
        <w:numPr>
          <w:ilvl w:val="0"/>
          <w:numId w:val="2"/>
        </w:numPr>
        <w:spacing w:after="90" w:line="300"/>
      </w:pPr>
      <w:r>
        <w:rPr>
          <w:rFonts w:ascii="Calibri" w:cs="Calibri" w:eastAsia="Calibri" w:hAnsi="Calibri"/>
          <w:color w:val="333333"/>
          <w:sz w:val="22"/>
          <w:szCs w:val="22"/>
        </w:rPr>
        <w:t xml:space="preserve">Use quantitative analysis, assessment, and outcome measurement to drive evidence-based planning and accreditation efforts.</w:t>
      </w:r>
    </w:p>
    <w:p>
      <w:pPr>
        <w:spacing w:after="140" w:line="300"/>
      </w:pPr>
      <w:r>
        <w:rPr>
          <w:rFonts w:ascii="Calibri" w:cs="Calibri" w:eastAsia="Calibri" w:hAnsi="Calibri"/>
          <w:b/>
          <w:bCs/>
          <w:color w:val="2E4D7B"/>
          <w:sz w:val="22"/>
          <w:szCs w:val="22"/>
        </w:rPr>
        <w:t xml:space="preserve">Resources &amp; Partnerships</w:t>
      </w:r>
    </w:p>
    <w:p>
      <w:pPr>
        <w:pStyle w:val="ListParagraph"/>
        <w:numPr>
          <w:ilvl w:val="0"/>
          <w:numId w:val="2"/>
        </w:numPr>
        <w:spacing w:after="90" w:line="300"/>
      </w:pPr>
      <w:r>
        <w:rPr>
          <w:rFonts w:ascii="Calibri" w:cs="Calibri" w:eastAsia="Calibri" w:hAnsi="Calibri"/>
          <w:color w:val="333333"/>
          <w:sz w:val="22"/>
          <w:szCs w:val="22"/>
        </w:rPr>
        <w:t xml:space="preserve">Manage the college's budget and resources, and engage in resource generation through fundraising, partnerships, and new academic programs or delivery methods.</w:t>
      </w:r>
    </w:p>
    <w:p>
      <w:pPr>
        <w:pStyle w:val="ListParagraph"/>
        <w:numPr>
          <w:ilvl w:val="0"/>
          <w:numId w:val="2"/>
        </w:numPr>
        <w:spacing w:after="90" w:line="300"/>
      </w:pPr>
      <w:r>
        <w:rPr>
          <w:rFonts w:ascii="Calibri" w:cs="Calibri" w:eastAsia="Calibri" w:hAnsi="Calibri"/>
          <w:color w:val="333333"/>
          <w:sz w:val="22"/>
          <w:szCs w:val="22"/>
        </w:rPr>
        <w:t xml:space="preserve">Provide leadership on policy and procedure development for the college.</w:t>
      </w:r>
    </w:p>
    <w:p>
      <w:pPr>
        <w:pStyle w:val="ListParagraph"/>
        <w:numPr>
          <w:ilvl w:val="0"/>
          <w:numId w:val="2"/>
        </w:numPr>
        <w:spacing w:after="90" w:line="300"/>
      </w:pPr>
      <w:r>
        <w:rPr>
          <w:rFonts w:ascii="Calibri" w:cs="Calibri" w:eastAsia="Calibri" w:hAnsi="Calibri"/>
          <w:color w:val="333333"/>
          <w:sz w:val="22"/>
          <w:szCs w:val="22"/>
        </w:rPr>
        <w:t xml:space="preserve">Collaborate with external stakeholders including alumni, donors, industry, government, and community partners.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Credentials</w:t>
      </w:r>
    </w:p>
    <w:p>
      <w:pPr>
        <w:pStyle w:val="ListParagraph"/>
        <w:numPr>
          <w:ilvl w:val="0"/>
          <w:numId w:val="2"/>
        </w:numPr>
        <w:spacing w:after="90" w:line="300"/>
      </w:pPr>
      <w:r>
        <w:rPr>
          <w:rFonts w:ascii="Calibri" w:cs="Calibri" w:eastAsia="Calibri" w:hAnsi="Calibri"/>
          <w:color w:val="333333"/>
          <w:sz w:val="22"/>
          <w:szCs w:val="22"/>
        </w:rPr>
        <w:t xml:space="preserve">An earned doctorate in a discipline appropriate to the college.</w:t>
      </w:r>
    </w:p>
    <w:p>
      <w:pPr>
        <w:pStyle w:val="ListParagraph"/>
        <w:numPr>
          <w:ilvl w:val="0"/>
          <w:numId w:val="2"/>
        </w:numPr>
        <w:spacing w:after="90" w:line="300"/>
      </w:pPr>
      <w:r>
        <w:rPr>
          <w:rFonts w:ascii="Calibri" w:cs="Calibri" w:eastAsia="Calibri" w:hAnsi="Calibri"/>
          <w:color w:val="333333"/>
          <w:sz w:val="22"/>
          <w:szCs w:val="22"/>
        </w:rPr>
        <w:t xml:space="preserve">Academic credentials and scholarly achievement worthy of the rank of Professor with tenure in the College of Nursing.</w:t>
      </w:r>
    </w:p>
    <w:p>
      <w:pPr>
        <w:spacing w:after="140" w:line="300"/>
      </w:pPr>
      <w:r>
        <w:rPr>
          <w:rFonts w:ascii="Calibri" w:cs="Calibri" w:eastAsia="Calibri" w:hAnsi="Calibri"/>
          <w:b/>
          <w:bCs/>
          <w:color w:val="2E4D7B"/>
          <w:sz w:val="22"/>
          <w:szCs w:val="22"/>
        </w:rPr>
        <w:t xml:space="preserve">Leadership Profile</w:t>
      </w:r>
    </w:p>
    <w:p>
      <w:pPr>
        <w:pStyle w:val="ListParagraph"/>
        <w:numPr>
          <w:ilvl w:val="0"/>
          <w:numId w:val="2"/>
        </w:numPr>
        <w:spacing w:after="90" w:line="300"/>
      </w:pPr>
      <w:r>
        <w:rPr>
          <w:rFonts w:ascii="Calibri" w:cs="Calibri" w:eastAsia="Calibri" w:hAnsi="Calibri"/>
          <w:color w:val="333333"/>
          <w:sz w:val="22"/>
          <w:szCs w:val="22"/>
        </w:rPr>
        <w:t xml:space="preserve">A proven academic leader who is inclusive, committed, and mentoring, with strong partnership-building ability.</w:t>
      </w:r>
    </w:p>
    <w:p>
      <w:pPr>
        <w:pStyle w:val="ListParagraph"/>
        <w:numPr>
          <w:ilvl w:val="0"/>
          <w:numId w:val="2"/>
        </w:numPr>
        <w:spacing w:after="90" w:line="300"/>
      </w:pPr>
      <w:r>
        <w:rPr>
          <w:rFonts w:ascii="Calibri" w:cs="Calibri" w:eastAsia="Calibri" w:hAnsi="Calibri"/>
          <w:color w:val="333333"/>
          <w:sz w:val="22"/>
          <w:szCs w:val="22"/>
        </w:rPr>
        <w:t xml:space="preserve">Strategically minded, entrepreneurial, evidence-driven, and highly trustworthy.</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Dean, College of Nursing?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