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Dean, College of Humanities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Dean of the College of Humanities serves as the chief academic and administrative officer of the college, responsible for strategic vision, resource management, external partnerships, and advocacy for the humanities both within the institution and to a broader public. The role shapes the future of humanities education, fosters interdisciplinary collaboration, and advances the institution's mission and strategic goals.</w:t>
      </w:r>
    </w:p>
    <w:p>
      <w:pPr>
        <w:spacing w:after="140" w:line="300"/>
      </w:pPr>
      <w:r>
        <w:rPr>
          <w:rFonts w:ascii="Calibri" w:cs="Calibri" w:eastAsia="Calibri" w:hAnsi="Calibri"/>
          <w:color w:val="333333"/>
          <w:sz w:val="22"/>
          <w:szCs w:val="22"/>
        </w:rPr>
        <w:t xml:space="preserve">It bridges scholarly achievement and practical institutional leadership in ways few academic roles demand. It is a senior leadership role within the higher education sector, typically reporting to the Provost or Vice President for Academic Affairs.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Strategic Leadership &amp; Vision</w:t>
      </w:r>
    </w:p>
    <w:p>
      <w:pPr>
        <w:pStyle w:val="ListParagraph"/>
        <w:numPr>
          <w:ilvl w:val="0"/>
          <w:numId w:val="2"/>
        </w:numPr>
        <w:spacing w:after="90" w:line="300"/>
      </w:pPr>
      <w:r>
        <w:rPr>
          <w:rFonts w:ascii="Calibri" w:cs="Calibri" w:eastAsia="Calibri" w:hAnsi="Calibri"/>
          <w:color w:val="333333"/>
          <w:sz w:val="22"/>
          <w:szCs w:val="22"/>
        </w:rPr>
        <w:t xml:space="preserve">Provide strategic leadership and oversight for the college, ensuring alignment with the institution's mission, values, and long-range strategic plan.</w:t>
      </w:r>
    </w:p>
    <w:p>
      <w:pPr>
        <w:pStyle w:val="ListParagraph"/>
        <w:numPr>
          <w:ilvl w:val="0"/>
          <w:numId w:val="2"/>
        </w:numPr>
        <w:spacing w:after="90" w:line="300"/>
      </w:pPr>
      <w:r>
        <w:rPr>
          <w:rFonts w:ascii="Calibri" w:cs="Calibri" w:eastAsia="Calibri" w:hAnsi="Calibri"/>
          <w:color w:val="333333"/>
          <w:sz w:val="22"/>
          <w:szCs w:val="22"/>
        </w:rPr>
        <w:t xml:space="preserve">Lead initiatives to enhance academic excellence, faculty development, and student success across all programs in the college.</w:t>
      </w:r>
    </w:p>
    <w:p>
      <w:pPr>
        <w:pStyle w:val="ListParagraph"/>
        <w:numPr>
          <w:ilvl w:val="0"/>
          <w:numId w:val="2"/>
        </w:numPr>
        <w:spacing w:after="90" w:line="300"/>
      </w:pPr>
      <w:r>
        <w:rPr>
          <w:rFonts w:ascii="Calibri" w:cs="Calibri" w:eastAsia="Calibri" w:hAnsi="Calibri"/>
          <w:color w:val="333333"/>
          <w:sz w:val="22"/>
          <w:szCs w:val="22"/>
        </w:rPr>
        <w:t xml:space="preserve">Represent the college within the university and to external stakeholders, advocating for its programs, faculty, and students.</w:t>
      </w:r>
    </w:p>
    <w:p>
      <w:pPr>
        <w:spacing w:after="140" w:line="300"/>
      </w:pPr>
      <w:r>
        <w:rPr>
          <w:rFonts w:ascii="Calibri" w:cs="Calibri" w:eastAsia="Calibri" w:hAnsi="Calibri"/>
          <w:b/>
          <w:bCs/>
          <w:color w:val="2E4D7B"/>
          <w:sz w:val="22"/>
          <w:szCs w:val="22"/>
        </w:rPr>
        <w:t xml:space="preserve">Academic Administration &amp; Curriculum</w:t>
      </w:r>
    </w:p>
    <w:p>
      <w:pPr>
        <w:pStyle w:val="ListParagraph"/>
        <w:numPr>
          <w:ilvl w:val="0"/>
          <w:numId w:val="2"/>
        </w:numPr>
        <w:spacing w:after="90" w:line="300"/>
      </w:pPr>
      <w:r>
        <w:rPr>
          <w:rFonts w:ascii="Calibri" w:cs="Calibri" w:eastAsia="Calibri" w:hAnsi="Calibri"/>
          <w:color w:val="333333"/>
          <w:sz w:val="22"/>
          <w:szCs w:val="22"/>
        </w:rPr>
        <w:t xml:space="preserve">Oversee academic programs, curricula, and assessment to ensure rigor and compliance with accreditation standards.</w:t>
      </w:r>
    </w:p>
    <w:p>
      <w:pPr>
        <w:pStyle w:val="ListParagraph"/>
        <w:numPr>
          <w:ilvl w:val="0"/>
          <w:numId w:val="2"/>
        </w:numPr>
        <w:spacing w:after="90" w:line="300"/>
      </w:pPr>
      <w:r>
        <w:rPr>
          <w:rFonts w:ascii="Calibri" w:cs="Calibri" w:eastAsia="Calibri" w:hAnsi="Calibri"/>
          <w:color w:val="333333"/>
          <w:sz w:val="22"/>
          <w:szCs w:val="22"/>
        </w:rPr>
        <w:t xml:space="preserve">Supervise department chairs and program directors, providing mentorship, accountability, and a collaborative framework for shared governance.</w:t>
      </w:r>
    </w:p>
    <w:p>
      <w:pPr>
        <w:pStyle w:val="ListParagraph"/>
        <w:numPr>
          <w:ilvl w:val="0"/>
          <w:numId w:val="2"/>
        </w:numPr>
        <w:spacing w:after="90" w:line="300"/>
      </w:pPr>
      <w:r>
        <w:rPr>
          <w:rFonts w:ascii="Calibri" w:cs="Calibri" w:eastAsia="Calibri" w:hAnsi="Calibri"/>
          <w:color w:val="333333"/>
          <w:sz w:val="22"/>
          <w:szCs w:val="22"/>
        </w:rPr>
        <w:t xml:space="preserve">Support faculty in research, scholarship, creative activity, and the pursuit of grants and external recognition, and lead program reviews and curricular innovation.</w:t>
      </w:r>
    </w:p>
    <w:p>
      <w:pPr>
        <w:spacing w:after="140" w:line="300"/>
      </w:pPr>
      <w:r>
        <w:rPr>
          <w:rFonts w:ascii="Calibri" w:cs="Calibri" w:eastAsia="Calibri" w:hAnsi="Calibri"/>
          <w:b/>
          <w:bCs/>
          <w:color w:val="2E4D7B"/>
          <w:sz w:val="22"/>
          <w:szCs w:val="22"/>
        </w:rPr>
        <w:t xml:space="preserve">Resources, Culture &amp; Community</w:t>
      </w:r>
    </w:p>
    <w:p>
      <w:pPr>
        <w:pStyle w:val="ListParagraph"/>
        <w:numPr>
          <w:ilvl w:val="0"/>
          <w:numId w:val="2"/>
        </w:numPr>
        <w:spacing w:after="90" w:line="300"/>
      </w:pPr>
      <w:r>
        <w:rPr>
          <w:rFonts w:ascii="Calibri" w:cs="Calibri" w:eastAsia="Calibri" w:hAnsi="Calibri"/>
          <w:color w:val="333333"/>
          <w:sz w:val="22"/>
          <w:szCs w:val="22"/>
        </w:rPr>
        <w:t xml:space="preserve">Manage the college's budget, resources, and operations efficiently, and advocate with institutional leadership for the facilities and staffing the college needs.</w:t>
      </w:r>
    </w:p>
    <w:p>
      <w:pPr>
        <w:pStyle w:val="ListParagraph"/>
        <w:numPr>
          <w:ilvl w:val="0"/>
          <w:numId w:val="2"/>
        </w:numPr>
        <w:spacing w:after="90" w:line="300"/>
      </w:pPr>
      <w:r>
        <w:rPr>
          <w:rFonts w:ascii="Calibri" w:cs="Calibri" w:eastAsia="Calibri" w:hAnsi="Calibri"/>
          <w:color w:val="333333"/>
          <w:sz w:val="22"/>
          <w:szCs w:val="22"/>
        </w:rPr>
        <w:t xml:space="preserve">Engage actively in fundraising, alumni relations, and external partnerships to secure financial support and expand opportunities.</w:t>
      </w:r>
    </w:p>
    <w:p>
      <w:pPr>
        <w:pStyle w:val="ListParagraph"/>
        <w:numPr>
          <w:ilvl w:val="0"/>
          <w:numId w:val="2"/>
        </w:numPr>
        <w:spacing w:after="90" w:line="300"/>
      </w:pPr>
      <w:r>
        <w:rPr>
          <w:rFonts w:ascii="Calibri" w:cs="Calibri" w:eastAsia="Calibri" w:hAnsi="Calibri"/>
          <w:color w:val="333333"/>
          <w:sz w:val="22"/>
          <w:szCs w:val="22"/>
        </w:rPr>
        <w:t xml:space="preserve">Foster an inclusive, collegial, and transparent environment for faculty, staff, and students, and cultivate relationships with alumni and community partners.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Terminal degree in a humanities-related discipline with a distinguished record of teaching, research, and service.</w:t>
      </w:r>
    </w:p>
    <w:p>
      <w:pPr>
        <w:pStyle w:val="ListParagraph"/>
        <w:numPr>
          <w:ilvl w:val="0"/>
          <w:numId w:val="2"/>
        </w:numPr>
        <w:spacing w:after="90" w:line="300"/>
      </w:pPr>
      <w:r>
        <w:rPr>
          <w:rFonts w:ascii="Calibri" w:cs="Calibri" w:eastAsia="Calibri" w:hAnsi="Calibri"/>
          <w:color w:val="333333"/>
          <w:sz w:val="22"/>
          <w:szCs w:val="22"/>
        </w:rPr>
        <w:t xml:space="preserve">Significant leadership experience in higher education, preferably at the department chair, associate dean, or dean level.</w:t>
      </w:r>
    </w:p>
    <w:p>
      <w:pPr>
        <w:spacing w:after="140" w:line="300"/>
      </w:pPr>
      <w:r>
        <w:rPr>
          <w:rFonts w:ascii="Calibri" w:cs="Calibri" w:eastAsia="Calibri" w:hAnsi="Calibri"/>
          <w:b/>
          <w:bCs/>
          <w:color w:val="2E4D7B"/>
          <w:sz w:val="22"/>
          <w:szCs w:val="22"/>
        </w:rPr>
        <w:t xml:space="preserve">Knowledge, Skills &amp; Abilities</w:t>
      </w:r>
    </w:p>
    <w:p>
      <w:pPr>
        <w:pStyle w:val="ListParagraph"/>
        <w:numPr>
          <w:ilvl w:val="0"/>
          <w:numId w:val="2"/>
        </w:numPr>
        <w:spacing w:after="90" w:line="300"/>
      </w:pPr>
      <w:r>
        <w:rPr>
          <w:rFonts w:ascii="Calibri" w:cs="Calibri" w:eastAsia="Calibri" w:hAnsi="Calibri"/>
          <w:color w:val="333333"/>
          <w:sz w:val="22"/>
          <w:szCs w:val="22"/>
        </w:rPr>
        <w:t xml:space="preserve">Demonstrated ability to manage complex budgets, build external partnerships, and secure funding through grants and development efforts.</w:t>
      </w:r>
    </w:p>
    <w:p>
      <w:pPr>
        <w:pStyle w:val="ListParagraph"/>
        <w:numPr>
          <w:ilvl w:val="0"/>
          <w:numId w:val="2"/>
        </w:numPr>
        <w:spacing w:after="90" w:line="300"/>
      </w:pPr>
      <w:r>
        <w:rPr>
          <w:rFonts w:ascii="Calibri" w:cs="Calibri" w:eastAsia="Calibri" w:hAnsi="Calibri"/>
          <w:color w:val="333333"/>
          <w:sz w:val="22"/>
          <w:szCs w:val="22"/>
        </w:rPr>
        <w:t xml:space="preserve">Strong interpersonal and communication skills, with a proven ability to collaborate with faculty, staff, students, and institutional leadership.</w:t>
      </w:r>
    </w:p>
    <w:p>
      <w:pPr>
        <w:pStyle w:val="ListParagraph"/>
        <w:numPr>
          <w:ilvl w:val="0"/>
          <w:numId w:val="2"/>
        </w:numPr>
        <w:spacing w:after="90" w:line="300"/>
      </w:pPr>
      <w:r>
        <w:rPr>
          <w:rFonts w:ascii="Calibri" w:cs="Calibri" w:eastAsia="Calibri" w:hAnsi="Calibri"/>
          <w:color w:val="333333"/>
          <w:sz w:val="22"/>
          <w:szCs w:val="22"/>
        </w:rPr>
        <w:t xml:space="preserve">Demonstrated understanding of shared governance, plus familiarity with program development, assessment, and accreditation in humanities disciplines.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Dean, College of Humanities?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