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Dean, College of Health Professions and Sciences</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Dean of the College of Health Professions and Sciences is a dynamic and visionary leader responsible for overseeing the strategic direction, academic excellence, and operational effectiveness of the College. The role serves as the primary advocate for the College, fostering innovation in teaching, research, and service while cultivating collaborative relationships within the university and the broader community.</w:t>
      </w:r>
    </w:p>
    <w:p>
      <w:pPr>
        <w:spacing w:after="140" w:line="300"/>
      </w:pPr>
      <w:r>
        <w:rPr>
          <w:rFonts w:ascii="Calibri" w:cs="Calibri" w:eastAsia="Calibri" w:hAnsi="Calibri"/>
          <w:color w:val="333333"/>
          <w:sz w:val="22"/>
          <w:szCs w:val="22"/>
        </w:rPr>
        <w:t xml:space="preserve">As a key member of the university's leadership team, the Dean reports to the Provost and aligns the College's mission and goals with institutional priorities. It is a senior academic leadership role within the higher education and healthcare space.</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Strategic &amp; Academic Leadership</w:t>
      </w:r>
    </w:p>
    <w:p>
      <w:pPr>
        <w:pStyle w:val="ListParagraph"/>
        <w:numPr>
          <w:ilvl w:val="0"/>
          <w:numId w:val="2"/>
        </w:numPr>
        <w:spacing w:after="90" w:line="300"/>
      </w:pPr>
      <w:r>
        <w:rPr>
          <w:rFonts w:ascii="Calibri" w:cs="Calibri" w:eastAsia="Calibri" w:hAnsi="Calibri"/>
          <w:color w:val="333333"/>
          <w:sz w:val="22"/>
          <w:szCs w:val="22"/>
        </w:rPr>
        <w:t xml:space="preserve">Provide strategic leadership to advance the College's academic programs, research initiatives, and community engagement efforts.</w:t>
      </w:r>
    </w:p>
    <w:p>
      <w:pPr>
        <w:pStyle w:val="ListParagraph"/>
        <w:numPr>
          <w:ilvl w:val="0"/>
          <w:numId w:val="2"/>
        </w:numPr>
        <w:spacing w:after="90" w:line="300"/>
      </w:pPr>
      <w:r>
        <w:rPr>
          <w:rFonts w:ascii="Calibri" w:cs="Calibri" w:eastAsia="Calibri" w:hAnsi="Calibri"/>
          <w:color w:val="333333"/>
          <w:sz w:val="22"/>
          <w:szCs w:val="22"/>
        </w:rPr>
        <w:t xml:space="preserve">Develop and implement a vision for the College that emphasizes innovation, interdisciplinary collaboration, and student success.</w:t>
      </w:r>
    </w:p>
    <w:p>
      <w:pPr>
        <w:pStyle w:val="ListParagraph"/>
        <w:numPr>
          <w:ilvl w:val="0"/>
          <w:numId w:val="2"/>
        </w:numPr>
        <w:spacing w:after="90" w:line="300"/>
      </w:pPr>
      <w:r>
        <w:rPr>
          <w:rFonts w:ascii="Calibri" w:cs="Calibri" w:eastAsia="Calibri" w:hAnsi="Calibri"/>
          <w:color w:val="333333"/>
          <w:sz w:val="22"/>
          <w:szCs w:val="22"/>
        </w:rPr>
        <w:t xml:space="preserve">Ensure the College's programs meet the highest standards of accreditation and professional excellence.</w:t>
      </w:r>
    </w:p>
    <w:p>
      <w:pPr>
        <w:spacing w:after="140" w:line="300"/>
      </w:pPr>
      <w:r>
        <w:rPr>
          <w:rFonts w:ascii="Calibri" w:cs="Calibri" w:eastAsia="Calibri" w:hAnsi="Calibri"/>
          <w:b/>
          <w:bCs/>
          <w:color w:val="2E4D7B"/>
          <w:sz w:val="22"/>
          <w:szCs w:val="22"/>
        </w:rPr>
        <w:t xml:space="preserve">Faculty, Students &amp; Research</w:t>
      </w:r>
    </w:p>
    <w:p>
      <w:pPr>
        <w:pStyle w:val="ListParagraph"/>
        <w:numPr>
          <w:ilvl w:val="0"/>
          <w:numId w:val="2"/>
        </w:numPr>
        <w:spacing w:after="90" w:line="300"/>
      </w:pPr>
      <w:r>
        <w:rPr>
          <w:rFonts w:ascii="Calibri" w:cs="Calibri" w:eastAsia="Calibri" w:hAnsi="Calibri"/>
          <w:color w:val="333333"/>
          <w:sz w:val="22"/>
          <w:szCs w:val="22"/>
        </w:rPr>
        <w:t xml:space="preserve">Oversee the recruitment, retention, and development of a diverse and highly qualified faculty and staff.</w:t>
      </w:r>
    </w:p>
    <w:p>
      <w:pPr>
        <w:pStyle w:val="ListParagraph"/>
        <w:numPr>
          <w:ilvl w:val="0"/>
          <w:numId w:val="2"/>
        </w:numPr>
        <w:spacing w:after="90" w:line="300"/>
      </w:pPr>
      <w:r>
        <w:rPr>
          <w:rFonts w:ascii="Calibri" w:cs="Calibri" w:eastAsia="Calibri" w:hAnsi="Calibri"/>
          <w:color w:val="333333"/>
          <w:sz w:val="22"/>
          <w:szCs w:val="22"/>
        </w:rPr>
        <w:t xml:space="preserve">Foster a supportive and inclusive environment that enhances student engagement, retention, and graduation rates.</w:t>
      </w:r>
    </w:p>
    <w:p>
      <w:pPr>
        <w:pStyle w:val="ListParagraph"/>
        <w:numPr>
          <w:ilvl w:val="0"/>
          <w:numId w:val="2"/>
        </w:numPr>
        <w:spacing w:after="90" w:line="300"/>
      </w:pPr>
      <w:r>
        <w:rPr>
          <w:rFonts w:ascii="Calibri" w:cs="Calibri" w:eastAsia="Calibri" w:hAnsi="Calibri"/>
          <w:color w:val="333333"/>
          <w:sz w:val="22"/>
          <w:szCs w:val="22"/>
        </w:rPr>
        <w:t xml:space="preserve">Promote and support research and scholarship activities among faculty and students.</w:t>
      </w:r>
    </w:p>
    <w:p>
      <w:pPr>
        <w:spacing w:after="140" w:line="300"/>
      </w:pPr>
      <w:r>
        <w:rPr>
          <w:rFonts w:ascii="Calibri" w:cs="Calibri" w:eastAsia="Calibri" w:hAnsi="Calibri"/>
          <w:b/>
          <w:bCs/>
          <w:color w:val="2E4D7B"/>
          <w:sz w:val="22"/>
          <w:szCs w:val="22"/>
        </w:rPr>
        <w:t xml:space="preserve">Partnerships &amp; Operations</w:t>
      </w:r>
    </w:p>
    <w:p>
      <w:pPr>
        <w:pStyle w:val="ListParagraph"/>
        <w:numPr>
          <w:ilvl w:val="0"/>
          <w:numId w:val="2"/>
        </w:numPr>
        <w:spacing w:after="90" w:line="300"/>
      </w:pPr>
      <w:r>
        <w:rPr>
          <w:rFonts w:ascii="Calibri" w:cs="Calibri" w:eastAsia="Calibri" w:hAnsi="Calibri"/>
          <w:color w:val="333333"/>
          <w:sz w:val="22"/>
          <w:szCs w:val="22"/>
        </w:rPr>
        <w:t xml:space="preserve">Advocate for the College within the university and broader community, building partnerships with healthcare organizations, government agencies, and other stakeholders.</w:t>
      </w:r>
    </w:p>
    <w:p>
      <w:pPr>
        <w:pStyle w:val="ListParagraph"/>
        <w:numPr>
          <w:ilvl w:val="0"/>
          <w:numId w:val="2"/>
        </w:numPr>
        <w:spacing w:after="90" w:line="300"/>
      </w:pPr>
      <w:r>
        <w:rPr>
          <w:rFonts w:ascii="Calibri" w:cs="Calibri" w:eastAsia="Calibri" w:hAnsi="Calibri"/>
          <w:color w:val="333333"/>
          <w:sz w:val="22"/>
          <w:szCs w:val="22"/>
        </w:rPr>
        <w:t xml:space="preserve">Manage the College's budget and resources effectively, ensuring financial sustainability and growth.</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Experience</w:t>
      </w:r>
    </w:p>
    <w:p>
      <w:pPr>
        <w:pStyle w:val="ListParagraph"/>
        <w:numPr>
          <w:ilvl w:val="0"/>
          <w:numId w:val="2"/>
        </w:numPr>
        <w:spacing w:after="90" w:line="300"/>
      </w:pPr>
      <w:r>
        <w:rPr>
          <w:rFonts w:ascii="Calibri" w:cs="Calibri" w:eastAsia="Calibri" w:hAnsi="Calibri"/>
          <w:color w:val="333333"/>
          <w:sz w:val="22"/>
          <w:szCs w:val="22"/>
        </w:rPr>
        <w:t xml:space="preserve">Earned doctorate in a health-related field or closely related discipline.</w:t>
      </w:r>
    </w:p>
    <w:p>
      <w:pPr>
        <w:pStyle w:val="ListParagraph"/>
        <w:numPr>
          <w:ilvl w:val="0"/>
          <w:numId w:val="2"/>
        </w:numPr>
        <w:spacing w:after="90" w:line="300"/>
      </w:pPr>
      <w:r>
        <w:rPr>
          <w:rFonts w:ascii="Calibri" w:cs="Calibri" w:eastAsia="Calibri" w:hAnsi="Calibri"/>
          <w:color w:val="333333"/>
          <w:sz w:val="22"/>
          <w:szCs w:val="22"/>
        </w:rPr>
        <w:t xml:space="preserve">A record of distinguished academic achievement and leadership in higher education, with a minimum of five years of progressive administrative experience.</w:t>
      </w:r>
    </w:p>
    <w:p>
      <w:pPr>
        <w:spacing w:after="140" w:line="300"/>
      </w:pPr>
      <w:r>
        <w:rPr>
          <w:rFonts w:ascii="Calibri" w:cs="Calibri" w:eastAsia="Calibri" w:hAnsi="Calibri"/>
          <w:b/>
          <w:bCs/>
          <w:color w:val="2E4D7B"/>
          <w:sz w:val="22"/>
          <w:szCs w:val="22"/>
        </w:rPr>
        <w:t xml:space="preserve">Skills &amp; Preferred</w:t>
      </w:r>
    </w:p>
    <w:p>
      <w:pPr>
        <w:pStyle w:val="ListParagraph"/>
        <w:numPr>
          <w:ilvl w:val="0"/>
          <w:numId w:val="2"/>
        </w:numPr>
        <w:spacing w:after="90" w:line="300"/>
      </w:pPr>
      <w:r>
        <w:rPr>
          <w:rFonts w:ascii="Calibri" w:cs="Calibri" w:eastAsia="Calibri" w:hAnsi="Calibri"/>
          <w:color w:val="333333"/>
          <w:sz w:val="22"/>
          <w:szCs w:val="22"/>
        </w:rPr>
        <w:t xml:space="preserve">Demonstrated experience in strategic planning, resource management, and program development, with a proven ability to foster diversity, equity, and inclusion.</w:t>
      </w:r>
    </w:p>
    <w:p>
      <w:pPr>
        <w:pStyle w:val="ListParagraph"/>
        <w:numPr>
          <w:ilvl w:val="0"/>
          <w:numId w:val="2"/>
        </w:numPr>
        <w:spacing w:after="90" w:line="300"/>
      </w:pPr>
      <w:r>
        <w:rPr>
          <w:rFonts w:ascii="Calibri" w:cs="Calibri" w:eastAsia="Calibri" w:hAnsi="Calibri"/>
          <w:color w:val="333333"/>
          <w:sz w:val="22"/>
          <w:szCs w:val="22"/>
        </w:rPr>
        <w:t xml:space="preserve">Strong communication and interpersonal skills for engaging a wide range of stakeholders, and a commitment to student success, faculty development, and research excellence.</w:t>
      </w:r>
    </w:p>
    <w:p>
      <w:pPr>
        <w:pStyle w:val="ListParagraph"/>
        <w:numPr>
          <w:ilvl w:val="0"/>
          <w:numId w:val="2"/>
        </w:numPr>
        <w:spacing w:after="90" w:line="300"/>
      </w:pPr>
      <w:r>
        <w:rPr>
          <w:rFonts w:ascii="Calibri" w:cs="Calibri" w:eastAsia="Calibri" w:hAnsi="Calibri"/>
          <w:color w:val="333333"/>
          <w:sz w:val="22"/>
          <w:szCs w:val="22"/>
        </w:rPr>
        <w:t xml:space="preserve">Preferred: experience managing partnerships with healthcare systems or agencies, knowledge of health-professions accreditation, and a record of securing external funding.</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Dean, College of Health Professions and Sciences?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