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Dean, College of Education</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The Dean of the College of Education oversees all academic, research, and operational aspects of the College of Education, ensuring alignment with the university's mission and strategic goals. The role leads a distinguished college known for its impact on education policy, research, and teacher preparation at local, state, and national levels, and requires a collaborative, visionary leader with a track record of fostering innovation, driving student success, and building community partnerships.</w:t>
      </w:r>
    </w:p>
    <w:p>
      <w:pPr>
        <w:spacing w:after="140" w:line="300"/>
      </w:pPr>
      <w:r>
        <w:rPr>
          <w:rFonts w:ascii="Calibri" w:cs="Calibri" w:eastAsia="Calibri" w:hAnsi="Calibri"/>
          <w:color w:val="333333"/>
          <w:sz w:val="22"/>
          <w:szCs w:val="22"/>
        </w:rPr>
        <w:t xml:space="preserve">It is a senior academic leadership role within the higher education sector, with deep ties to K-12 systems and state education agencies.</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Strategic &amp; Academic Leadership</w:t>
      </w:r>
    </w:p>
    <w:p>
      <w:pPr>
        <w:pStyle w:val="ListParagraph"/>
        <w:numPr>
          <w:ilvl w:val="0"/>
          <w:numId w:val="2"/>
        </w:numPr>
        <w:spacing w:after="90" w:line="300"/>
      </w:pPr>
      <w:r>
        <w:rPr>
          <w:rFonts w:ascii="Calibri" w:cs="Calibri" w:eastAsia="Calibri" w:hAnsi="Calibri"/>
          <w:color w:val="333333"/>
          <w:sz w:val="22"/>
          <w:szCs w:val="22"/>
        </w:rPr>
        <w:t xml:space="preserve">Develop and implement a compelling vision for the College of Education aligned with the university's strategic priorities, and promote a culture of innovation, inclusion, and academic excellence.</w:t>
      </w:r>
    </w:p>
    <w:p>
      <w:pPr>
        <w:pStyle w:val="ListParagraph"/>
        <w:numPr>
          <w:ilvl w:val="0"/>
          <w:numId w:val="2"/>
        </w:numPr>
        <w:spacing w:after="90" w:line="300"/>
      </w:pPr>
      <w:r>
        <w:rPr>
          <w:rFonts w:ascii="Calibri" w:cs="Calibri" w:eastAsia="Calibri" w:hAnsi="Calibri"/>
          <w:color w:val="333333"/>
          <w:sz w:val="22"/>
          <w:szCs w:val="22"/>
        </w:rPr>
        <w:t xml:space="preserve">Lead the college's strategic planning, ensuring growth in enrollment, programs, and research initiatives.</w:t>
      </w:r>
    </w:p>
    <w:p>
      <w:pPr>
        <w:pStyle w:val="ListParagraph"/>
        <w:numPr>
          <w:ilvl w:val="0"/>
          <w:numId w:val="2"/>
        </w:numPr>
        <w:spacing w:after="90" w:line="300"/>
      </w:pPr>
      <w:r>
        <w:rPr>
          <w:rFonts w:ascii="Calibri" w:cs="Calibri" w:eastAsia="Calibri" w:hAnsi="Calibri"/>
          <w:color w:val="333333"/>
          <w:sz w:val="22"/>
          <w:szCs w:val="22"/>
        </w:rPr>
        <w:t xml:space="preserve">Oversee development, implementation, and assessment of undergraduate, graduate, and professional programs, ensuring compliance with state, national, and accreditation standards for teacher preparation.</w:t>
      </w:r>
    </w:p>
    <w:p>
      <w:pPr>
        <w:spacing w:after="140" w:line="300"/>
      </w:pPr>
      <w:r>
        <w:rPr>
          <w:rFonts w:ascii="Calibri" w:cs="Calibri" w:eastAsia="Calibri" w:hAnsi="Calibri"/>
          <w:b/>
          <w:bCs/>
          <w:color w:val="2E4D7B"/>
          <w:sz w:val="22"/>
          <w:szCs w:val="22"/>
        </w:rPr>
        <w:t xml:space="preserve">Research, Students &amp; Faculty</w:t>
      </w:r>
    </w:p>
    <w:p>
      <w:pPr>
        <w:pStyle w:val="ListParagraph"/>
        <w:numPr>
          <w:ilvl w:val="0"/>
          <w:numId w:val="2"/>
        </w:numPr>
        <w:spacing w:after="90" w:line="300"/>
      </w:pPr>
      <w:r>
        <w:rPr>
          <w:rFonts w:ascii="Calibri" w:cs="Calibri" w:eastAsia="Calibri" w:hAnsi="Calibri"/>
          <w:color w:val="333333"/>
          <w:sz w:val="22"/>
          <w:szCs w:val="22"/>
        </w:rPr>
        <w:t xml:space="preserve">Foster a culture of research excellence, increasing grant-funded initiatives and interdisciplinary collaborations that address critical issues in education.</w:t>
      </w:r>
    </w:p>
    <w:p>
      <w:pPr>
        <w:pStyle w:val="ListParagraph"/>
        <w:numPr>
          <w:ilvl w:val="0"/>
          <w:numId w:val="2"/>
        </w:numPr>
        <w:spacing w:after="90" w:line="300"/>
      </w:pPr>
      <w:r>
        <w:rPr>
          <w:rFonts w:ascii="Calibri" w:cs="Calibri" w:eastAsia="Calibri" w:hAnsi="Calibri"/>
          <w:color w:val="333333"/>
          <w:sz w:val="22"/>
          <w:szCs w:val="22"/>
        </w:rPr>
        <w:t xml:space="preserve">Drive initiatives that support student success, recruitment, and retention within the college.</w:t>
      </w:r>
    </w:p>
    <w:p>
      <w:pPr>
        <w:pStyle w:val="ListParagraph"/>
        <w:numPr>
          <w:ilvl w:val="0"/>
          <w:numId w:val="2"/>
        </w:numPr>
        <w:spacing w:after="90" w:line="300"/>
      </w:pPr>
      <w:r>
        <w:rPr>
          <w:rFonts w:ascii="Calibri" w:cs="Calibri" w:eastAsia="Calibri" w:hAnsi="Calibri"/>
          <w:color w:val="333333"/>
          <w:sz w:val="22"/>
          <w:szCs w:val="22"/>
        </w:rPr>
        <w:t xml:space="preserve">Lead the recruitment, mentorship, and retention of outstanding faculty and staff, fostering a collaborative, inclusive, equitable environment.</w:t>
      </w:r>
    </w:p>
    <w:p>
      <w:pPr>
        <w:spacing w:after="140" w:line="300"/>
      </w:pPr>
      <w:r>
        <w:rPr>
          <w:rFonts w:ascii="Calibri" w:cs="Calibri" w:eastAsia="Calibri" w:hAnsi="Calibri"/>
          <w:b/>
          <w:bCs/>
          <w:color w:val="2E4D7B"/>
          <w:sz w:val="22"/>
          <w:szCs w:val="22"/>
        </w:rPr>
        <w:t xml:space="preserve">Partnerships &amp; Operations</w:t>
      </w:r>
    </w:p>
    <w:p>
      <w:pPr>
        <w:pStyle w:val="ListParagraph"/>
        <w:numPr>
          <w:ilvl w:val="0"/>
          <w:numId w:val="2"/>
        </w:numPr>
        <w:spacing w:after="90" w:line="300"/>
      </w:pPr>
      <w:r>
        <w:rPr>
          <w:rFonts w:ascii="Calibri" w:cs="Calibri" w:eastAsia="Calibri" w:hAnsi="Calibri"/>
          <w:color w:val="333333"/>
          <w:sz w:val="22"/>
          <w:szCs w:val="22"/>
        </w:rPr>
        <w:t xml:space="preserve">Build and maintain strong partnerships with K-12 schools, state education agencies, and other institutions, and advocate for the college at local, state, and national levels.</w:t>
      </w:r>
    </w:p>
    <w:p>
      <w:pPr>
        <w:pStyle w:val="ListParagraph"/>
        <w:numPr>
          <w:ilvl w:val="0"/>
          <w:numId w:val="2"/>
        </w:numPr>
        <w:spacing w:after="90" w:line="300"/>
      </w:pPr>
      <w:r>
        <w:rPr>
          <w:rFonts w:ascii="Calibri" w:cs="Calibri" w:eastAsia="Calibri" w:hAnsi="Calibri"/>
          <w:color w:val="333333"/>
          <w:sz w:val="22"/>
          <w:szCs w:val="22"/>
        </w:rPr>
        <w:t xml:space="preserve">Engage alumni, donors, and stakeholders to support fundraising and resource development.</w:t>
      </w:r>
    </w:p>
    <w:p>
      <w:pPr>
        <w:pStyle w:val="ListParagraph"/>
        <w:numPr>
          <w:ilvl w:val="0"/>
          <w:numId w:val="2"/>
        </w:numPr>
        <w:spacing w:after="90" w:line="300"/>
      </w:pPr>
      <w:r>
        <w:rPr>
          <w:rFonts w:ascii="Calibri" w:cs="Calibri" w:eastAsia="Calibri" w:hAnsi="Calibri"/>
          <w:color w:val="333333"/>
          <w:sz w:val="22"/>
          <w:szCs w:val="22"/>
        </w:rPr>
        <w:t xml:space="preserve">Manage the college's budget, resources, and infrastructure for financial sustainability, and oversee accreditation and quality across all programs.</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Experience</w:t>
      </w:r>
    </w:p>
    <w:p>
      <w:pPr>
        <w:pStyle w:val="ListParagraph"/>
        <w:numPr>
          <w:ilvl w:val="0"/>
          <w:numId w:val="2"/>
        </w:numPr>
        <w:spacing w:after="90" w:line="300"/>
      </w:pPr>
      <w:r>
        <w:rPr>
          <w:rFonts w:ascii="Calibri" w:cs="Calibri" w:eastAsia="Calibri" w:hAnsi="Calibri"/>
          <w:color w:val="333333"/>
          <w:sz w:val="22"/>
          <w:szCs w:val="22"/>
        </w:rPr>
        <w:t xml:space="preserve">Earned doctorate (PhD, EdD, or equivalent) in education or a closely related field.</w:t>
      </w:r>
    </w:p>
    <w:p>
      <w:pPr>
        <w:pStyle w:val="ListParagraph"/>
        <w:numPr>
          <w:ilvl w:val="0"/>
          <w:numId w:val="2"/>
        </w:numPr>
        <w:spacing w:after="90" w:line="300"/>
      </w:pPr>
      <w:r>
        <w:rPr>
          <w:rFonts w:ascii="Calibri" w:cs="Calibri" w:eastAsia="Calibri" w:hAnsi="Calibri"/>
          <w:color w:val="333333"/>
          <w:sz w:val="22"/>
          <w:szCs w:val="22"/>
        </w:rPr>
        <w:t xml:space="preserve">Minimum of eight to ten years of leadership experience in higher education, with success as a department chair, associate dean, dean, or similar role, including driving enrollment growth and securing external funding.</w:t>
      </w:r>
    </w:p>
    <w:p>
      <w:pPr>
        <w:spacing w:after="140" w:line="300"/>
      </w:pPr>
      <w:r>
        <w:rPr>
          <w:rFonts w:ascii="Calibri" w:cs="Calibri" w:eastAsia="Calibri" w:hAnsi="Calibri"/>
          <w:b/>
          <w:bCs/>
          <w:color w:val="2E4D7B"/>
          <w:sz w:val="22"/>
          <w:szCs w:val="22"/>
        </w:rPr>
        <w:t xml:space="preserve">Skills &amp; Attributes</w:t>
      </w:r>
    </w:p>
    <w:p>
      <w:pPr>
        <w:pStyle w:val="ListParagraph"/>
        <w:numPr>
          <w:ilvl w:val="0"/>
          <w:numId w:val="2"/>
        </w:numPr>
        <w:spacing w:after="90" w:line="300"/>
      </w:pPr>
      <w:r>
        <w:rPr>
          <w:rFonts w:ascii="Calibri" w:cs="Calibri" w:eastAsia="Calibri" w:hAnsi="Calibri"/>
          <w:color w:val="333333"/>
          <w:sz w:val="22"/>
          <w:szCs w:val="22"/>
        </w:rPr>
        <w:t xml:space="preserve">Visionary leadership with the ability to inspire faculty, staff, and students, and strong communication skills for engaging diverse stakeholders.</w:t>
      </w:r>
    </w:p>
    <w:p>
      <w:pPr>
        <w:pStyle w:val="ListParagraph"/>
        <w:numPr>
          <w:ilvl w:val="0"/>
          <w:numId w:val="2"/>
        </w:numPr>
        <w:spacing w:after="90" w:line="300"/>
      </w:pPr>
      <w:r>
        <w:rPr>
          <w:rFonts w:ascii="Calibri" w:cs="Calibri" w:eastAsia="Calibri" w:hAnsi="Calibri"/>
          <w:color w:val="333333"/>
          <w:sz w:val="22"/>
          <w:szCs w:val="22"/>
        </w:rPr>
        <w:t xml:space="preserve">Experience building collaborative relationships with K-12 systems, state education agencies, and community partners.</w:t>
      </w:r>
    </w:p>
    <w:p>
      <w:pPr>
        <w:pStyle w:val="ListParagraph"/>
        <w:numPr>
          <w:ilvl w:val="0"/>
          <w:numId w:val="2"/>
        </w:numPr>
        <w:spacing w:after="90" w:line="300"/>
      </w:pPr>
      <w:r>
        <w:rPr>
          <w:rFonts w:ascii="Calibri" w:cs="Calibri" w:eastAsia="Calibri" w:hAnsi="Calibri"/>
          <w:color w:val="333333"/>
          <w:sz w:val="22"/>
          <w:szCs w:val="22"/>
        </w:rPr>
        <w:t xml:space="preserve">Strategic decision-making and problem-solving with a focus on measurable results, and a commitment to diversity, equity, inclusion, and belonging.</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Dean, College of Education?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