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rFonts w:ascii="Calibri" w:hAnsi="Calibri"/>
          <w:b/>
          <w:color w:val="C8972B"/>
          <w:sz w:val="20"/>
        </w:rPr>
        <w:t xml:space="preserve">EXCELON ASSOCIATES</w:t>
      </w:r>
    </w:p>
    <w:p>
      <w:pPr>
        <w:spacing w:after="80"/>
        <w:pBdr>
          <w:bottom w:val="single" w:sz="12" w:space="6" w:color="C8972B"/>
        </w:pBdr>
      </w:pPr>
      <w:r>
        <w:rPr>
          <w:rFonts w:ascii="Calibri" w:hAnsi="Calibri"/>
          <w:b/>
          <w:color w:val="2E4D7B"/>
          <w:sz w:val="44"/>
        </w:rPr>
        <w:t xml:space="preserve">City Manager Job Description Template</w:t>
      </w:r>
    </w:p>
    <w:p>
      <w:pPr>
        <w:spacing w:after="240"/>
      </w:pPr>
      <w:r>
        <w:rPr>
          <w:rFonts w:ascii="Calibri" w:hAnsi="Calibri"/>
          <w:i/>
          <w:color w:val="6B7280"/>
          <w:sz w:val="21"/>
        </w:rPr>
        <w:t xml:space="preserve">A ready to adapt city manager and township manager job description template from Excelon Associates. Replace bracketed text with your municipality's details.</w:t>
      </w:r>
    </w:p>
    <w:p>
      <w:pPr>
        <w:spacing w:after="100"/>
      </w:pPr>
      <w:r>
        <w:rPr>
          <w:rFonts w:ascii="Calibri" w:hAnsi="Calibri"/>
          <w:b/>
          <w:color w:val="2E4D7B"/>
          <w:sz w:val="26"/>
        </w:rPr>
        <w:t xml:space="preserve">Position Summary</w:t>
      </w:r>
    </w:p>
    <w:p>
      <w:pPr>
        <w:spacing w:after="120"/>
      </w:pPr>
      <w:r>
        <w:rPr>
          <w:rFonts w:ascii="Calibri" w:hAnsi="Calibri"/>
          <w:color w:val="2B2B2B"/>
          <w:sz w:val="22"/>
        </w:rPr>
        <w:t xml:space="preserve">[Municipality name] seeks a proven local government executive to serve as City Manager [or Township Manager]. The Manager serves as chief administrative officer of the municipality, implements the policies of the governing body, directs all municipal departments, and manages the annual budget. This position is appointed by and reports to [the City Council / Board of Commissioners].</w:t>
      </w:r>
    </w:p>
    <w:p>
      <w:pPr>
        <w:spacing w:after="100"/>
      </w:pPr>
      <w:r>
        <w:rPr>
          <w:rFonts w:ascii="Calibri" w:hAnsi="Calibri"/>
          <w:b/>
          <w:color w:val="2E4D7B"/>
          <w:sz w:val="26"/>
        </w:rPr>
        <w:t xml:space="preserve">Essential Responsibilities</w:t>
      </w:r>
    </w:p>
    <w:p>
      <w:pPr>
        <w:numPr>
          <w:ilvl w:val="0"/>
          <w:numId w:val="1"/>
        </w:numPr>
        <w:spacing w:after="60"/>
      </w:pPr>
      <w:r>
        <w:rPr>
          <w:rFonts w:ascii="Calibri" w:hAnsi="Calibri"/>
          <w:color w:val="2B2B2B"/>
          <w:sz w:val="22"/>
        </w:rPr>
        <w:t xml:space="preserve">Serve as chief administrative officer, directing the day to day operations of all municipal departments.</w:t>
      </w:r>
    </w:p>
    <w:p>
      <w:pPr>
        <w:numPr>
          <w:ilvl w:val="0"/>
          <w:numId w:val="1"/>
        </w:numPr>
        <w:spacing w:after="60"/>
      </w:pPr>
      <w:r>
        <w:rPr>
          <w:rFonts w:ascii="Calibri" w:hAnsi="Calibri"/>
          <w:color w:val="2B2B2B"/>
          <w:sz w:val="22"/>
        </w:rPr>
        <w:t xml:space="preserve">Implement the policies, ordinances, and strategic priorities adopted by the governing body.</w:t>
      </w:r>
    </w:p>
    <w:p>
      <w:pPr>
        <w:numPr>
          <w:ilvl w:val="0"/>
          <w:numId w:val="1"/>
        </w:numPr>
        <w:spacing w:after="60"/>
      </w:pPr>
      <w:r>
        <w:rPr>
          <w:rFonts w:ascii="Calibri" w:hAnsi="Calibri"/>
          <w:color w:val="2B2B2B"/>
          <w:sz w:val="22"/>
        </w:rPr>
        <w:t xml:space="preserve">Prepare and administer the annual operating and capital budgets, and manage the municipality's financial position.</w:t>
      </w:r>
    </w:p>
    <w:p>
      <w:pPr>
        <w:numPr>
          <w:ilvl w:val="0"/>
          <w:numId w:val="1"/>
        </w:numPr>
        <w:spacing w:after="60"/>
      </w:pPr>
      <w:r>
        <w:rPr>
          <w:rFonts w:ascii="Calibri" w:hAnsi="Calibri"/>
          <w:color w:val="2B2B2B"/>
          <w:sz w:val="22"/>
        </w:rPr>
        <w:t xml:space="preserve">Appoint, supervise, and evaluate department heads, and oversee personnel administration.</w:t>
      </w:r>
    </w:p>
    <w:p>
      <w:pPr>
        <w:numPr>
          <w:ilvl w:val="0"/>
          <w:numId w:val="1"/>
        </w:numPr>
        <w:spacing w:after="60"/>
      </w:pPr>
      <w:r>
        <w:rPr>
          <w:rFonts w:ascii="Calibri" w:hAnsi="Calibri"/>
          <w:color w:val="2B2B2B"/>
          <w:sz w:val="22"/>
        </w:rPr>
        <w:t xml:space="preserve">Advise the governing body on operational, financial, and policy matters, and attend all public meetings.</w:t>
      </w:r>
    </w:p>
    <w:p>
      <w:pPr>
        <w:numPr>
          <w:ilvl w:val="0"/>
          <w:numId w:val="1"/>
        </w:numPr>
        <w:spacing w:after="60"/>
      </w:pPr>
      <w:r>
        <w:rPr>
          <w:rFonts w:ascii="Calibri" w:hAnsi="Calibri"/>
          <w:color w:val="2B2B2B"/>
          <w:sz w:val="22"/>
        </w:rPr>
        <w:t xml:space="preserve">Lead labor relations, including negotiation and administration of collective bargaining agreements.</w:t>
      </w:r>
    </w:p>
    <w:p>
      <w:pPr>
        <w:numPr>
          <w:ilvl w:val="0"/>
          <w:numId w:val="1"/>
        </w:numPr>
        <w:spacing w:after="60"/>
      </w:pPr>
      <w:r>
        <w:rPr>
          <w:rFonts w:ascii="Calibri" w:hAnsi="Calibri"/>
          <w:color w:val="2B2B2B"/>
          <w:sz w:val="22"/>
        </w:rPr>
        <w:t xml:space="preserve">Direct economic development, capital projects, and intergovernmental relations.</w:t>
      </w:r>
    </w:p>
    <w:p>
      <w:pPr>
        <w:numPr>
          <w:ilvl w:val="0"/>
          <w:numId w:val="1"/>
        </w:numPr>
        <w:spacing w:after="60"/>
      </w:pPr>
      <w:r>
        <w:rPr>
          <w:rFonts w:ascii="Calibri" w:hAnsi="Calibri"/>
          <w:color w:val="2B2B2B"/>
          <w:sz w:val="22"/>
        </w:rPr>
        <w:t xml:space="preserve">Ensure delivery of municipal services, including public safety, public works, utilities, and community development.</w:t>
      </w:r>
    </w:p>
    <w:p>
      <w:pPr>
        <w:numPr>
          <w:ilvl w:val="0"/>
          <w:numId w:val="1"/>
        </w:numPr>
        <w:spacing w:after="60"/>
      </w:pPr>
      <w:r>
        <w:rPr>
          <w:rFonts w:ascii="Calibri" w:hAnsi="Calibri"/>
          <w:color w:val="2B2B2B"/>
          <w:sz w:val="22"/>
        </w:rPr>
        <w:t xml:space="preserve">Represent the municipality with residents, businesses, and county, state, and federal partners.</w:t>
      </w:r>
    </w:p>
    <w:p>
      <w:pPr>
        <w:numPr>
          <w:ilvl w:val="0"/>
          <w:numId w:val="1"/>
        </w:numPr>
        <w:spacing w:after="60"/>
      </w:pPr>
      <w:r>
        <w:rPr>
          <w:rFonts w:ascii="Calibri" w:hAnsi="Calibri"/>
          <w:color w:val="2B2B2B"/>
          <w:sz w:val="22"/>
        </w:rPr>
        <w:t xml:space="preserve">Ensure compliance with all applicable laws, charter provisions, and grant requirements.</w:t>
      </w:r>
    </w:p>
    <w:p>
      <w:pPr>
        <w:spacing w:after="100"/>
      </w:pPr>
      <w:r>
        <w:rPr>
          <w:rFonts w:ascii="Calibri" w:hAnsi="Calibri"/>
          <w:b/>
          <w:color w:val="2E4D7B"/>
          <w:sz w:val="26"/>
        </w:rPr>
        <w:t xml:space="preserve">Qualifications</w:t>
      </w:r>
    </w:p>
    <w:p>
      <w:pPr>
        <w:numPr>
          <w:ilvl w:val="0"/>
          <w:numId w:val="1"/>
        </w:numPr>
        <w:spacing w:after="60"/>
      </w:pPr>
      <w:r>
        <w:rPr>
          <w:rFonts w:ascii="Calibri" w:hAnsi="Calibri"/>
          <w:color w:val="2B2B2B"/>
          <w:sz w:val="22"/>
        </w:rPr>
        <w:t xml:space="preserve">Bachelor's degree in public administration, business, or a related field required; master of public administration (MPA) preferred.</w:t>
      </w:r>
    </w:p>
    <w:p>
      <w:pPr>
        <w:numPr>
          <w:ilvl w:val="0"/>
          <w:numId w:val="1"/>
        </w:numPr>
        <w:spacing w:after="60"/>
      </w:pPr>
      <w:r>
        <w:rPr>
          <w:rFonts w:ascii="Calibri" w:hAnsi="Calibri"/>
          <w:color w:val="2B2B2B"/>
          <w:sz w:val="22"/>
        </w:rPr>
        <w:t xml:space="preserve">Seven or more years of progressively responsible municipal management experience, such as manager, deputy or assistant manager, or department director.</w:t>
      </w:r>
    </w:p>
    <w:p>
      <w:pPr>
        <w:numPr>
          <w:ilvl w:val="0"/>
          <w:numId w:val="1"/>
        </w:numPr>
        <w:spacing w:after="60"/>
      </w:pPr>
      <w:r>
        <w:rPr>
          <w:rFonts w:ascii="Calibri" w:hAnsi="Calibri"/>
          <w:color w:val="2B2B2B"/>
          <w:sz w:val="22"/>
        </w:rPr>
        <w:t xml:space="preserve">ICMA Credentialed Manager designation preferred.</w:t>
      </w:r>
    </w:p>
    <w:p>
      <w:pPr>
        <w:numPr>
          <w:ilvl w:val="0"/>
          <w:numId w:val="1"/>
        </w:numPr>
        <w:spacing w:after="60"/>
      </w:pPr>
      <w:r>
        <w:rPr>
          <w:rFonts w:ascii="Calibri" w:hAnsi="Calibri"/>
          <w:color w:val="2B2B2B"/>
          <w:sz w:val="22"/>
        </w:rPr>
        <w:t xml:space="preserve">Demonstrated experience with municipal budgeting, labor relations, economic development, and council relations.</w:t>
      </w:r>
    </w:p>
    <w:p>
      <w:pPr>
        <w:numPr>
          <w:ilvl w:val="0"/>
          <w:numId w:val="1"/>
        </w:numPr>
        <w:spacing w:after="60"/>
      </w:pPr>
      <w:r>
        <w:rPr>
          <w:rFonts w:ascii="Calibri" w:hAnsi="Calibri"/>
          <w:color w:val="2B2B2B"/>
          <w:sz w:val="22"/>
        </w:rPr>
        <w:t xml:space="preserve">Strong public communication skills and a record of transparent, ethical leadership.</w:t>
      </w:r>
    </w:p>
    <w:p>
      <w:pPr>
        <w:spacing w:after="100"/>
      </w:pPr>
      <w:r>
        <w:rPr>
          <w:rFonts w:ascii="Calibri" w:hAnsi="Calibri"/>
          <w:b/>
          <w:color w:val="2E4D7B"/>
          <w:sz w:val="26"/>
        </w:rPr>
        <w:t xml:space="preserve">Working Conditions</w:t>
      </w:r>
    </w:p>
    <w:p>
      <w:pPr>
        <w:spacing w:after="120"/>
      </w:pPr>
      <w:r>
        <w:rPr>
          <w:rFonts w:ascii="Calibri" w:hAnsi="Calibri"/>
          <w:color w:val="2B2B2B"/>
          <w:sz w:val="22"/>
        </w:rPr>
        <w:t xml:space="preserve">The Manager works primarily in a municipal office setting, with regular evening attendance at meetings of the governing body and frequent community events. The position operates under significant public visibility and typically serves at the pleasure of the governing body per charter or ordinance.</w:t>
      </w:r>
    </w:p>
    <w:p>
      <w:pPr>
        <w:spacing w:after="100"/>
      </w:pPr>
      <w:r>
        <w:rPr>
          <w:rFonts w:ascii="Calibri" w:hAnsi="Calibri"/>
          <w:b/>
          <w:color w:val="2E4D7B"/>
          <w:sz w:val="26"/>
        </w:rPr>
        <w:t xml:space="preserve">Compensation</w:t>
      </w:r>
    </w:p>
    <w:p>
      <w:pPr>
        <w:spacing w:after="120"/>
      </w:pPr>
      <w:r>
        <w:rPr>
          <w:rFonts w:ascii="Calibri" w:hAnsi="Calibri"/>
          <w:color w:val="2B2B2B"/>
          <w:sz w:val="22"/>
        </w:rPr>
        <w:t xml:space="preserve">[Insert salary range and benefits summary. Manager compensation varies with population, budget size, and region.]</w:t>
      </w:r>
    </w:p>
    <w:p>
      <w:pPr>
        <w:spacing w:after="100"/>
      </w:pPr>
      <w:r>
        <w:rPr>
          <w:rFonts w:ascii="Calibri" w:hAnsi="Calibri"/>
          <w:b/>
          <w:color w:val="2E4D7B"/>
          <w:sz w:val="26"/>
        </w:rPr>
        <w:t xml:space="preserve">How to Apply</w:t>
      </w:r>
    </w:p>
    <w:p>
      <w:pPr>
        <w:spacing w:after="120"/>
      </w:pPr>
      <w:r>
        <w:rPr>
          <w:rFonts w:ascii="Calibri" w:hAnsi="Calibri"/>
          <w:color w:val="2B2B2B"/>
          <w:sz w:val="22"/>
        </w:rPr>
        <w:t xml:space="preserve">[Add organization-specific application instructions here]</w:t>
      </w:r>
    </w:p>
    <w:p>
      <w:pPr>
        <w:spacing w:after="0"/>
      </w:pPr>
      <w:r>
        <w:rPr>
          <w:rFonts w:ascii="Calibri" w:hAnsi="Calibri"/>
          <w:color w:val="6B7280"/>
          <w:sz w:val="18"/>
        </w:rPr>
        <w:t xml:space="preserve">Provided by Excelon Associates | excelonassociates.com | Retained executive search since 2007</w:t>
      </w:r>
    </w:p>
    <w:sectPr>
      <w:pgSz w:w="12240" w:h="15840"/>
      <w:pgMar w:top="1080" w:right="1260" w:bottom="1080" w:left="1260"/>
    </w:sectPr>
  </w:body>
</w:document>
</file>

<file path=word/numbering.xml><?xml version="1.0" encoding="utf-8"?>
<w:numbering xmlns:w="http://schemas.openxmlformats.org/wordprocessingml/2006/main">
  <w:abstractNum w:abstractNumId="0">
    <w:lvl w:ilvl="0">
      <w:start w:val="1"/>
      <w:numFmt w:val="bullet"/>
      <w:lvlText w:val="•"/>
      <w:lvlJc w:val="left"/>
      <w:pPr>
        <w:ind w:left="504" w:hanging="259"/>
      </w:pPr>
      <w:rPr>
        <w:rFonts w:ascii="Calibri" w:hAnsi="Calibri"/>
      </w:rPr>
    </w:lvl>
  </w:abstractNum>
  <w:num w:numId="1">
    <w:abstractNumId w:val="0"/>
  </w:num>
</w:numbering>
</file>

<file path=word/_rels/document.xml.rels><?xml version="1.0" encoding="UTF-8" standalone="yes"?><Relationships xmlns="http://schemas.openxmlformats.org/package/2006/relationships"><Relationship Id="rId1" Type="http://schemas.openxmlformats.org/officeDocument/2006/relationships/numbering" Target="numbering.xml"/></Relationships>
</file>