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Chief Financial Officer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Chief Financial Officer leads the institution's financial operations and drives long-term fiscal sustainability. As a key member of the executive leadership team, the CFO provides strategic financial guidance and ensures the institution's financial health aligns with its academic mission and institutional goals.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role oversees budgeting, accounting, reporting, endowments, investments, and risk, and collaborates with the President, Board of Trustees, and senior leadership. It is the senior-most financial leadership role within the higher education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&amp; Operations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execute financial strategies to support the institution's long-term growth, stability, and operational efficiency.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all financial operations, including budgeting, accounting, financial reporting, endowments, investments, and risk management.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financial planning and analysis, ensuring data-driven decisions that enhance resource allocation and institutional priorities.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Governance &amp; Compliance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the President, Board of Trustees, and senior leadership to align financial objectives with academic and operational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all financial regulations, reporting standards, and institutional policies.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relationships with external stakeholders, including auditors, financial institutions, and government agencies.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Sustainability &amp;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Drive financial sustainability initiatives, including revenue diversification, cost optimization, and strategic investment planning.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leadership and mentorship to finance teams, fostering a culture of transparency, accountability, and innovation.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Master's degree in finance, accounting, business administration, or a related field; CPA or CFA designation is a plus.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10+ years of progressive financial leadership experience, ideally in higher education, nonprofit organizations, or complex institutional settings.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Expertise &amp;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background in financial strategy, endowment management, budgeting, and regulatory compliance within large institutions.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lead cross-functional teams, drive financial performance, and collaborate with executive leadership.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analytical, communication, and problem-solving skills, with a commitment to fiscal responsibility and institutional excellence.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Chief Financial Officer?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