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Chief Academic Officer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Chief Academic Officer (CAO) serves as the primary academic leader for the institution, overseeing all academic programs and initiatives to foster a dynamic and engaging learning environment. The role is pivotal in advancing the institution's mission by promoting academic excellence, supporting faculty development, and enhancing student success across diverse programs.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senior academic leadership role within the higher education sector, sitting at the top of the academic organization and partnering with senior leadership on institution-wide strategy.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Academic Leadership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visionary leadership to all academic departments, ensuring alignment with the institution's mission and strategic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curriculum planning, implementation, and assessment, collaborating with faculty to create innovative, interdisciplinary programs that respond to current trends and student needs.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Support and advocate for faculty through professional development, performance evaluations, and resource allocation, fostering an environment of academic excellence.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Accreditation, Budget &amp; Strategy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accreditation standards and regulatory requirements, including program reviews and assessment of student learning outcomes.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manage the academic affairs budget, ensuring responsible resource allocation to support academic priorities.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senior leadership on strategic planning, particularly academic growth, student retention, and the integration of new technologies.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Student Success &amp; Engagement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 closely with student affairs to promote student engagement, retention, and achievement, enhancing support services and initiatives.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as a representative of the institution within the academic community and with external stakeholders, building partnerships that advance its reputation and offerings.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Doctorate in an academic discipline from a regionally accredited institution.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At least ten years of progressive experience in academic leadership roles, with a track record of successful program development and faculty support.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Competencies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ability to foster a collaborative and inclusive academic environment, with strong analytical, organizational, and communication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with accreditation processes and strategic planning, and the ability to inspire faculty, staff, and students toward a shared vision of academic success.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demonstrated commitment to academic excellence and innovation in curriculum and instructional delivery.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Chief Academic Officer?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