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Associate Vice Provost, Research</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Associate Vice Provost for Research advances the university's research mission by supporting the strategic growth, administration, and innovation of its research enterprise. Reporting to the Vice Provost for Research, the role enhances research funding, fosters interdisciplinary collaboration, and ensures compliance with research policies and regulatory standards.</w:t>
      </w:r>
    </w:p>
    <w:p>
      <w:pPr>
        <w:spacing w:after="140" w:line="300"/>
      </w:pPr>
      <w:r>
        <w:rPr>
          <w:rFonts w:ascii="Calibri" w:cs="Calibri" w:eastAsia="Calibri" w:hAnsi="Calibri"/>
          <w:color w:val="333333"/>
          <w:sz w:val="22"/>
          <w:szCs w:val="22"/>
        </w:rPr>
        <w:t xml:space="preserve">It works closely with faculty, staff, and external partners to expand research capacity, enhance institutional visibility, and support impactful outcomes. It is a senior research-administration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Research Strategy &amp; Funding</w:t>
      </w:r>
    </w:p>
    <w:p>
      <w:pPr>
        <w:pStyle w:val="ListParagraph"/>
        <w:numPr>
          <w:ilvl w:val="0"/>
          <w:numId w:val="2"/>
        </w:numPr>
        <w:spacing w:after="90" w:line="300"/>
      </w:pPr>
      <w:r>
        <w:rPr>
          <w:rFonts w:ascii="Calibri" w:cs="Calibri" w:eastAsia="Calibri" w:hAnsi="Calibri"/>
          <w:color w:val="333333"/>
          <w:sz w:val="22"/>
          <w:szCs w:val="22"/>
        </w:rPr>
        <w:t xml:space="preserve">Assist in developing and implementing a comprehensive strategy for advancing the university's research agenda and competitiveness, promoting interdisciplinary collaboration across departments, colleges, and external organizations.</w:t>
      </w:r>
    </w:p>
    <w:p>
      <w:pPr>
        <w:pStyle w:val="ListParagraph"/>
        <w:numPr>
          <w:ilvl w:val="0"/>
          <w:numId w:val="2"/>
        </w:numPr>
        <w:spacing w:after="90" w:line="300"/>
      </w:pPr>
      <w:r>
        <w:rPr>
          <w:rFonts w:ascii="Calibri" w:cs="Calibri" w:eastAsia="Calibri" w:hAnsi="Calibri"/>
          <w:color w:val="333333"/>
          <w:sz w:val="22"/>
          <w:szCs w:val="22"/>
        </w:rPr>
        <w:t xml:space="preserve">Collaborate with faculty to secure external funding from federal, state, and private sources, and develop initiatives and workshops supporting grant writing and proposal development.</w:t>
      </w:r>
    </w:p>
    <w:p>
      <w:pPr>
        <w:pStyle w:val="ListParagraph"/>
        <w:numPr>
          <w:ilvl w:val="0"/>
          <w:numId w:val="2"/>
        </w:numPr>
        <w:spacing w:after="90" w:line="300"/>
      </w:pPr>
      <w:r>
        <w:rPr>
          <w:rFonts w:ascii="Calibri" w:cs="Calibri" w:eastAsia="Calibri" w:hAnsi="Calibri"/>
          <w:color w:val="333333"/>
          <w:sz w:val="22"/>
          <w:szCs w:val="22"/>
        </w:rPr>
        <w:t xml:space="preserve">Partner with research centers and institutes to foster innovation and expand funding opportunities.</w:t>
      </w:r>
    </w:p>
    <w:p>
      <w:pPr>
        <w:spacing w:after="140" w:line="300"/>
      </w:pPr>
      <w:r>
        <w:rPr>
          <w:rFonts w:ascii="Calibri" w:cs="Calibri" w:eastAsia="Calibri" w:hAnsi="Calibri"/>
          <w:b/>
          <w:bCs/>
          <w:color w:val="2E4D7B"/>
          <w:sz w:val="22"/>
          <w:szCs w:val="22"/>
        </w:rPr>
        <w:t xml:space="preserve">Compliance &amp; Faculty Support</w:t>
      </w:r>
    </w:p>
    <w:p>
      <w:pPr>
        <w:pStyle w:val="ListParagraph"/>
        <w:numPr>
          <w:ilvl w:val="0"/>
          <w:numId w:val="2"/>
        </w:numPr>
        <w:spacing w:after="90" w:line="300"/>
      </w:pPr>
      <w:r>
        <w:rPr>
          <w:rFonts w:ascii="Calibri" w:cs="Calibri" w:eastAsia="Calibri" w:hAnsi="Calibri"/>
          <w:color w:val="333333"/>
          <w:sz w:val="22"/>
          <w:szCs w:val="22"/>
        </w:rPr>
        <w:t xml:space="preserve">Oversee research compliance, ensuring adherence to federal, state, and institutional regulations, including IRB, IACUC, and research safety protocols, and promote a culture of research integrity.</w:t>
      </w:r>
    </w:p>
    <w:p>
      <w:pPr>
        <w:pStyle w:val="ListParagraph"/>
        <w:numPr>
          <w:ilvl w:val="0"/>
          <w:numId w:val="2"/>
        </w:numPr>
        <w:spacing w:after="90" w:line="300"/>
      </w:pPr>
      <w:r>
        <w:rPr>
          <w:rFonts w:ascii="Calibri" w:cs="Calibri" w:eastAsia="Calibri" w:hAnsi="Calibri"/>
          <w:color w:val="333333"/>
          <w:sz w:val="22"/>
          <w:szCs w:val="22"/>
        </w:rPr>
        <w:t xml:space="preserve">Provide leadership and mentorship to faculty, postdoctoral researchers, and graduate students engaged in research.</w:t>
      </w:r>
    </w:p>
    <w:p>
      <w:pPr>
        <w:pStyle w:val="ListParagraph"/>
        <w:numPr>
          <w:ilvl w:val="0"/>
          <w:numId w:val="2"/>
        </w:numPr>
        <w:spacing w:after="90" w:line="300"/>
      </w:pPr>
      <w:r>
        <w:rPr>
          <w:rFonts w:ascii="Calibri" w:cs="Calibri" w:eastAsia="Calibri" w:hAnsi="Calibri"/>
          <w:color w:val="333333"/>
          <w:sz w:val="22"/>
          <w:szCs w:val="22"/>
        </w:rPr>
        <w:t xml:space="preserve">Lead initiatives that enhance professional development and foster a supportive research environment for early-career investigators.</w:t>
      </w:r>
    </w:p>
    <w:p>
      <w:pPr>
        <w:spacing w:after="140" w:line="300"/>
      </w:pPr>
      <w:r>
        <w:rPr>
          <w:rFonts w:ascii="Calibri" w:cs="Calibri" w:eastAsia="Calibri" w:hAnsi="Calibri"/>
          <w:b/>
          <w:bCs/>
          <w:color w:val="2E4D7B"/>
          <w:sz w:val="22"/>
          <w:szCs w:val="22"/>
        </w:rPr>
        <w:t xml:space="preserve">Operations &amp; Partnerships</w:t>
      </w:r>
    </w:p>
    <w:p>
      <w:pPr>
        <w:pStyle w:val="ListParagraph"/>
        <w:numPr>
          <w:ilvl w:val="0"/>
          <w:numId w:val="2"/>
        </w:numPr>
        <w:spacing w:after="90" w:line="300"/>
      </w:pPr>
      <w:r>
        <w:rPr>
          <w:rFonts w:ascii="Calibri" w:cs="Calibri" w:eastAsia="Calibri" w:hAnsi="Calibri"/>
          <w:color w:val="333333"/>
          <w:sz w:val="22"/>
          <w:szCs w:val="22"/>
        </w:rPr>
        <w:t xml:space="preserve">Assist in managing research infrastructure, resources, and administrative operations, and support technology transfer, commercialization, and intellectual property initiatives.</w:t>
      </w:r>
    </w:p>
    <w:p>
      <w:pPr>
        <w:pStyle w:val="ListParagraph"/>
        <w:numPr>
          <w:ilvl w:val="0"/>
          <w:numId w:val="2"/>
        </w:numPr>
        <w:spacing w:after="90" w:line="300"/>
      </w:pPr>
      <w:r>
        <w:rPr>
          <w:rFonts w:ascii="Calibri" w:cs="Calibri" w:eastAsia="Calibri" w:hAnsi="Calibri"/>
          <w:color w:val="333333"/>
          <w:sz w:val="22"/>
          <w:szCs w:val="22"/>
        </w:rPr>
        <w:t xml:space="preserve">Analyze and report research performance metrics to inform decision-making, and build partnerships with industry, government agencies, and research collaborators.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Doctorate (PhD) or equivalent terminal degree in a relevant field.</w:t>
      </w:r>
    </w:p>
    <w:p>
      <w:pPr>
        <w:pStyle w:val="ListParagraph"/>
        <w:numPr>
          <w:ilvl w:val="0"/>
          <w:numId w:val="2"/>
        </w:numPr>
        <w:spacing w:after="90" w:line="300"/>
      </w:pPr>
      <w:r>
        <w:rPr>
          <w:rFonts w:ascii="Calibri" w:cs="Calibri" w:eastAsia="Calibri" w:hAnsi="Calibri"/>
          <w:color w:val="333333"/>
          <w:sz w:val="22"/>
          <w:szCs w:val="22"/>
        </w:rPr>
        <w:t xml:space="preserve">Minimum of eight to ten years of progressive experience in research leadership, academic administration, or research development, with demonstrated success securing and managing external research funding.</w:t>
      </w:r>
    </w:p>
    <w:p>
      <w:pPr>
        <w:spacing w:after="140" w:line="300"/>
      </w:pPr>
      <w:r>
        <w:rPr>
          <w:rFonts w:ascii="Calibri" w:cs="Calibri" w:eastAsia="Calibri" w:hAnsi="Calibri"/>
          <w:b/>
          <w:bCs/>
          <w:color w:val="2E4D7B"/>
          <w:sz w:val="22"/>
          <w:szCs w:val="22"/>
        </w:rPr>
        <w:t xml:space="preserve">Skills &amp; Attributes</w:t>
      </w:r>
    </w:p>
    <w:p>
      <w:pPr>
        <w:pStyle w:val="ListParagraph"/>
        <w:numPr>
          <w:ilvl w:val="0"/>
          <w:numId w:val="2"/>
        </w:numPr>
        <w:spacing w:after="90" w:line="300"/>
      </w:pPr>
      <w:r>
        <w:rPr>
          <w:rFonts w:ascii="Calibri" w:cs="Calibri" w:eastAsia="Calibri" w:hAnsi="Calibri"/>
          <w:color w:val="333333"/>
          <w:sz w:val="22"/>
          <w:szCs w:val="22"/>
        </w:rPr>
        <w:t xml:space="preserve">Experience with research compliance, policies, and regulatory frameworks, including federal and state guidelines.</w:t>
      </w:r>
    </w:p>
    <w:p>
      <w:pPr>
        <w:pStyle w:val="ListParagraph"/>
        <w:numPr>
          <w:ilvl w:val="0"/>
          <w:numId w:val="2"/>
        </w:numPr>
        <w:spacing w:after="90" w:line="300"/>
      </w:pPr>
      <w:r>
        <w:rPr>
          <w:rFonts w:ascii="Calibri" w:cs="Calibri" w:eastAsia="Calibri" w:hAnsi="Calibri"/>
          <w:color w:val="333333"/>
          <w:sz w:val="22"/>
          <w:szCs w:val="22"/>
        </w:rPr>
        <w:t xml:space="preserve">Proven ability to foster interdisciplinary collaborations and partnerships, with strong strategic planning, leadership, and organizational skills.</w:t>
      </w:r>
    </w:p>
    <w:p>
      <w:pPr>
        <w:pStyle w:val="ListParagraph"/>
        <w:numPr>
          <w:ilvl w:val="0"/>
          <w:numId w:val="2"/>
        </w:numPr>
        <w:spacing w:after="90" w:line="300"/>
      </w:pPr>
      <w:r>
        <w:rPr>
          <w:rFonts w:ascii="Calibri" w:cs="Calibri" w:eastAsia="Calibri" w:hAnsi="Calibri"/>
          <w:color w:val="333333"/>
          <w:sz w:val="22"/>
          <w:szCs w:val="22"/>
        </w:rPr>
        <w:t xml:space="preserve">A commitment to research integrity and a data-driven approach to managing complex projects, budgets, and teams.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Associate Vice Provost, Research?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