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Academic Director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[Chief Academic Officer / Dean / Head of School]</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Academic Director owns the academic program: what is taught, who teaches it, and whether students learn it. The role sets curriculum standards, supervises faculty and instructional staff, monitors learning outcomes and completion rates, and keeps programs aligned with accreditation and regulatory requirements.</w:t>
      </w:r>
    </w:p>
    <w:p>
      <w:pPr>
        <w:spacing w:after="140" w:line="300"/>
      </w:pPr>
      <w:r>
        <w:rPr>
          <w:rFonts w:ascii="Calibri" w:cs="Calibri" w:eastAsia="Calibri" w:hAnsi="Calibri"/>
          <w:color w:val="333333"/>
          <w:sz w:val="22"/>
          <w:szCs w:val="22"/>
        </w:rPr>
        <w:t xml:space="preserve">Academic director roles and responsibilities vary by setting. At career colleges and training providers the role runs day-to-day academic operations across programs; at K-12 networks it leads curriculum and instruction; at universities and language or enrichment organizations it typically owns a school, center, or portfolio of programs within the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Curriculum &amp; Quality</w:t>
      </w:r>
    </w:p>
    <w:p>
      <w:pPr>
        <w:pStyle w:val="ListParagraph"/>
        <w:numPr>
          <w:ilvl w:val="0"/>
          <w:numId w:val="2"/>
        </w:numPr>
        <w:spacing w:after="90" w:line="300"/>
      </w:pPr>
      <w:r>
        <w:rPr>
          <w:rFonts w:ascii="Calibri" w:cs="Calibri" w:eastAsia="Calibri" w:hAnsi="Calibri"/>
          <w:color w:val="333333"/>
          <w:sz w:val="22"/>
          <w:szCs w:val="22"/>
        </w:rPr>
        <w:t xml:space="preserve">Set curriculum standards across programs, reviewing and updating course content so it stays current with field and employer needs.</w:t>
      </w:r>
    </w:p>
    <w:p>
      <w:pPr>
        <w:pStyle w:val="ListParagraph"/>
        <w:numPr>
          <w:ilvl w:val="0"/>
          <w:numId w:val="2"/>
        </w:numPr>
        <w:spacing w:after="90" w:line="300"/>
      </w:pPr>
      <w:r>
        <w:rPr>
          <w:rFonts w:ascii="Calibri" w:cs="Calibri" w:eastAsia="Calibri" w:hAnsi="Calibri"/>
          <w:color w:val="333333"/>
          <w:sz w:val="22"/>
          <w:szCs w:val="22"/>
        </w:rPr>
        <w:t xml:space="preserve">Monitor student learning outcomes, completion, and satisfaction data, and lead improvement plans where programs underperform.</w:t>
      </w:r>
    </w:p>
    <w:p>
      <w:pPr>
        <w:pStyle w:val="ListParagraph"/>
        <w:numPr>
          <w:ilvl w:val="0"/>
          <w:numId w:val="2"/>
        </w:numPr>
        <w:spacing w:after="90" w:line="300"/>
      </w:pPr>
      <w:r>
        <w:rPr>
          <w:rFonts w:ascii="Calibri" w:cs="Calibri" w:eastAsia="Calibri" w:hAnsi="Calibri"/>
          <w:color w:val="333333"/>
          <w:sz w:val="22"/>
          <w:szCs w:val="22"/>
        </w:rPr>
        <w:t xml:space="preserve">Keep programs aligned with accreditation standards and regulatory requirements, owning the academic side of every review visit.</w:t>
      </w:r>
    </w:p>
    <w:p>
      <w:pPr>
        <w:spacing w:after="140" w:line="300"/>
      </w:pPr>
      <w:r>
        <w:rPr>
          <w:rFonts w:ascii="Calibri" w:cs="Calibri" w:eastAsia="Calibri" w:hAnsi="Calibri"/>
          <w:b/>
          <w:bCs/>
          <w:color w:val="2E4D7B"/>
          <w:sz w:val="22"/>
          <w:szCs w:val="22"/>
        </w:rPr>
        <w:t xml:space="preserve">Faculty &amp; Instruction</w:t>
      </w:r>
    </w:p>
    <w:p>
      <w:pPr>
        <w:pStyle w:val="ListParagraph"/>
        <w:numPr>
          <w:ilvl w:val="0"/>
          <w:numId w:val="2"/>
        </w:numPr>
        <w:spacing w:after="90" w:line="300"/>
      </w:pPr>
      <w:r>
        <w:rPr>
          <w:rFonts w:ascii="Calibri" w:cs="Calibri" w:eastAsia="Calibri" w:hAnsi="Calibri"/>
          <w:color w:val="333333"/>
          <w:sz w:val="22"/>
          <w:szCs w:val="22"/>
        </w:rPr>
        <w:t xml:space="preserve">Recruit, onboard, observe, and evaluate faculty and instructors, pairing honest feedback with real development support.</w:t>
      </w:r>
    </w:p>
    <w:p>
      <w:pPr>
        <w:pStyle w:val="ListParagraph"/>
        <w:numPr>
          <w:ilvl w:val="0"/>
          <w:numId w:val="2"/>
        </w:numPr>
        <w:spacing w:after="90" w:line="300"/>
      </w:pPr>
      <w:r>
        <w:rPr>
          <w:rFonts w:ascii="Calibri" w:cs="Calibri" w:eastAsia="Calibri" w:hAnsi="Calibri"/>
          <w:color w:val="333333"/>
          <w:sz w:val="22"/>
          <w:szCs w:val="22"/>
        </w:rPr>
        <w:t xml:space="preserve">Build teaching schedules and faculty loads that balance program needs, budget, and instructor strengths.</w:t>
      </w:r>
    </w:p>
    <w:p>
      <w:pPr>
        <w:pStyle w:val="ListParagraph"/>
        <w:numPr>
          <w:ilvl w:val="0"/>
          <w:numId w:val="2"/>
        </w:numPr>
        <w:spacing w:after="90" w:line="300"/>
      </w:pPr>
      <w:r>
        <w:rPr>
          <w:rFonts w:ascii="Calibri" w:cs="Calibri" w:eastAsia="Calibri" w:hAnsi="Calibri"/>
          <w:color w:val="333333"/>
          <w:sz w:val="22"/>
          <w:szCs w:val="22"/>
        </w:rPr>
        <w:t xml:space="preserve">Lead academic policy administration, from grading and integrity standards to student academic appeals.</w:t>
      </w:r>
    </w:p>
    <w:p>
      <w:pPr>
        <w:spacing w:after="140" w:line="300"/>
      </w:pPr>
      <w:r>
        <w:rPr>
          <w:rFonts w:ascii="Calibri" w:cs="Calibri" w:eastAsia="Calibri" w:hAnsi="Calibri"/>
          <w:b/>
          <w:bCs/>
          <w:color w:val="2E4D7B"/>
          <w:sz w:val="22"/>
          <w:szCs w:val="22"/>
        </w:rPr>
        <w:t xml:space="preserve">Leadership &amp; Partnerships</w:t>
      </w:r>
    </w:p>
    <w:p>
      <w:pPr>
        <w:pStyle w:val="ListParagraph"/>
        <w:numPr>
          <w:ilvl w:val="0"/>
          <w:numId w:val="2"/>
        </w:numPr>
        <w:spacing w:after="90" w:line="300"/>
      </w:pPr>
      <w:r>
        <w:rPr>
          <w:rFonts w:ascii="Calibri" w:cs="Calibri" w:eastAsia="Calibri" w:hAnsi="Calibri"/>
          <w:color w:val="333333"/>
          <w:sz w:val="22"/>
          <w:szCs w:val="22"/>
        </w:rPr>
        <w:t xml:space="preserve">Serve on the institution's leadership team, translating academic realities for operational and financial decision makers.</w:t>
      </w:r>
    </w:p>
    <w:p>
      <w:pPr>
        <w:pStyle w:val="ListParagraph"/>
        <w:numPr>
          <w:ilvl w:val="0"/>
          <w:numId w:val="2"/>
        </w:numPr>
        <w:spacing w:after="90" w:line="300"/>
      </w:pPr>
      <w:r>
        <w:rPr>
          <w:rFonts w:ascii="Calibri" w:cs="Calibri" w:eastAsia="Calibri" w:hAnsi="Calibri"/>
          <w:color w:val="333333"/>
          <w:sz w:val="22"/>
          <w:szCs w:val="22"/>
        </w:rPr>
        <w:t xml:space="preserve">Partner with admissions, student services, and career services so academic quality shows up in enrollment and placement results.</w:t>
      </w:r>
    </w:p>
    <w:p>
      <w:pPr>
        <w:pStyle w:val="ListParagraph"/>
        <w:numPr>
          <w:ilvl w:val="0"/>
          <w:numId w:val="2"/>
        </w:numPr>
        <w:spacing w:after="90" w:line="300"/>
      </w:pPr>
      <w:r>
        <w:rPr>
          <w:rFonts w:ascii="Calibri" w:cs="Calibri" w:eastAsia="Calibri" w:hAnsi="Calibri"/>
          <w:color w:val="333333"/>
          <w:sz w:val="22"/>
          <w:szCs w:val="22"/>
        </w:rPr>
        <w:t xml:space="preserve">Manage the academic budget, prioritizing instructional investment where it moves outcomes.</w:t>
      </w:r>
    </w:p>
    <w:p>
      <w:pPr>
        <w:pStyle w:val="Heading1"/>
        <w:spacing w:after="140" w:before="320"/>
      </w:pPr>
      <w:r>
        <w:rPr>
          <w:rFonts w:ascii="Montserrat" w:cs="Montserrat" w:eastAsia="Montserrat" w:hAnsi="Montserrat"/>
          <w:b/>
          <w:bCs/>
          <w:color w:val="2E4D7B"/>
          <w:sz w:val="26"/>
          <w:szCs w:val="26"/>
        </w:rPr>
        <w:t xml:space="preserve">Qualifications</w:t>
      </w:r>
    </w:p>
    <w:p>
      <w:pPr>
        <w:pStyle w:val="ListParagraph"/>
        <w:numPr>
          <w:ilvl w:val="0"/>
          <w:numId w:val="2"/>
        </w:numPr>
        <w:spacing w:after="90" w:line="300"/>
      </w:pPr>
      <w:r>
        <w:rPr>
          <w:rFonts w:ascii="Calibri" w:cs="Calibri" w:eastAsia="Calibri" w:hAnsi="Calibri"/>
          <w:color w:val="333333"/>
          <w:sz w:val="22"/>
          <w:szCs w:val="22"/>
        </w:rPr>
        <w:t xml:space="preserve">Master's degree in education, the relevant discipline, or administration is required; a doctorate is preferred at many institutions.</w:t>
      </w:r>
    </w:p>
    <w:p>
      <w:pPr>
        <w:pStyle w:val="ListParagraph"/>
        <w:numPr>
          <w:ilvl w:val="0"/>
          <w:numId w:val="2"/>
        </w:numPr>
        <w:spacing w:after="90" w:line="300"/>
      </w:pPr>
      <w:r>
        <w:rPr>
          <w:rFonts w:ascii="Calibri" w:cs="Calibri" w:eastAsia="Calibri" w:hAnsi="Calibri"/>
          <w:color w:val="333333"/>
          <w:sz w:val="22"/>
          <w:szCs w:val="22"/>
        </w:rPr>
        <w:t xml:space="preserve">At least seven years of academic experience, including teaching and several years supervising faculty or leading programs.</w:t>
      </w:r>
    </w:p>
    <w:p>
      <w:pPr>
        <w:pStyle w:val="ListParagraph"/>
        <w:numPr>
          <w:ilvl w:val="0"/>
          <w:numId w:val="2"/>
        </w:numPr>
        <w:spacing w:after="90" w:line="300"/>
      </w:pPr>
      <w:r>
        <w:rPr>
          <w:rFonts w:ascii="Calibri" w:cs="Calibri" w:eastAsia="Calibri" w:hAnsi="Calibri"/>
          <w:color w:val="333333"/>
          <w:sz w:val="22"/>
          <w:szCs w:val="22"/>
        </w:rPr>
        <w:t xml:space="preserve">A record of improving measurable outcomes, such as completion, licensure pass rates, or accreditation findings.</w:t>
      </w:r>
    </w:p>
    <w:p>
      <w:pPr>
        <w:pStyle w:val="ListParagraph"/>
        <w:numPr>
          <w:ilvl w:val="0"/>
          <w:numId w:val="2"/>
        </w:numPr>
        <w:spacing w:after="90" w:line="300"/>
      </w:pPr>
      <w:r>
        <w:rPr>
          <w:rFonts w:ascii="Calibri" w:cs="Calibri" w:eastAsia="Calibri" w:hAnsi="Calibri"/>
          <w:color w:val="333333"/>
          <w:sz w:val="22"/>
          <w:szCs w:val="22"/>
        </w:rPr>
        <w:t xml:space="preserve">Working knowledge of the accreditation and regulatory frameworks governing your programs, and of learning management systems.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Academic Director? Our education practice recruits academic leadership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